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68" w:rsidRPr="00FA0589" w:rsidRDefault="00911768">
      <w:pPr>
        <w:pStyle w:val="Zkladntext"/>
        <w:jc w:val="center"/>
        <w:rPr>
          <w:rFonts w:ascii="Times New Roman" w:hAnsi="Times New Roman"/>
          <w:b/>
          <w:i/>
          <w:sz w:val="40"/>
        </w:rPr>
      </w:pPr>
      <w:r w:rsidRPr="00FA0589">
        <w:rPr>
          <w:rFonts w:ascii="Times New Roman" w:hAnsi="Times New Roman"/>
          <w:b/>
          <w:i/>
          <w:sz w:val="40"/>
        </w:rPr>
        <w:t xml:space="preserve">S m l o u v a   o   d í l o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FC5C03">
      <w:pPr>
        <w:pStyle w:val="Zkladntext"/>
        <w:tabs>
          <w:tab w:val="left" w:pos="2268"/>
        </w:tabs>
        <w:spacing w:before="240"/>
        <w:rPr>
          <w:rFonts w:ascii="Times New Roman" w:hAnsi="Times New Roman"/>
          <w:sz w:val="22"/>
        </w:rPr>
      </w:pPr>
      <w:r>
        <w:rPr>
          <w:rFonts w:ascii="Times New Roman" w:hAnsi="Times New Roman"/>
          <w:noProof/>
          <w:sz w:val="22"/>
        </w:rPr>
        <w:pict>
          <v:line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w:r>
      <w:r w:rsidR="00911768" w:rsidRPr="00FA0589">
        <w:rPr>
          <w:rFonts w:ascii="Times New Roman" w:hAnsi="Times New Roman"/>
          <w:noProof/>
          <w:sz w:val="22"/>
        </w:rPr>
        <w:t>číslo smlouvy zhotovitele:</w:t>
      </w:r>
      <w:r w:rsidR="00586053" w:rsidRPr="00FA0589">
        <w:rPr>
          <w:rFonts w:ascii="Times New Roman" w:hAnsi="Times New Roman"/>
          <w:noProof/>
          <w:sz w:val="22"/>
        </w:rPr>
        <w:tab/>
      </w:r>
      <w:r w:rsidR="00E65A30" w:rsidRPr="00FA0589">
        <w:rPr>
          <w:rFonts w:ascii="Times New Roman" w:hAnsi="Times New Roman"/>
          <w:noProof/>
          <w:sz w:val="22"/>
          <w:highlight w:val="yellow"/>
        </w:rPr>
        <w:t>_____________</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číslo smlouvy objednatele:</w:t>
      </w:r>
      <w:r w:rsidRPr="00FA0589">
        <w:rPr>
          <w:rFonts w:ascii="Times New Roman" w:hAnsi="Times New Roman"/>
          <w:sz w:val="22"/>
        </w:rPr>
        <w:tab/>
      </w:r>
      <w:r w:rsidR="00E65A30" w:rsidRPr="00FA0589">
        <w:rPr>
          <w:rFonts w:ascii="Times New Roman" w:hAnsi="Times New Roman"/>
          <w:sz w:val="22"/>
        </w:rPr>
        <w:t>_____________</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47402C" w:rsidRPr="00FA0589">
        <w:rPr>
          <w:rFonts w:ascii="Times New Roman" w:hAnsi="Times New Roman"/>
          <w:i/>
        </w:rPr>
        <w:tab/>
      </w:r>
      <w:r w:rsidR="00FB3714" w:rsidRPr="00FB3714">
        <w:rPr>
          <w:rFonts w:ascii="Times New Roman" w:hAnsi="Times New Roman"/>
          <w:b/>
          <w:sz w:val="28"/>
          <w:szCs w:val="24"/>
        </w:rPr>
        <w:t>Oprava a čištění požární nádrže Bečov</w:t>
      </w:r>
    </w:p>
    <w:p w:rsidR="00B440DF" w:rsidRPr="00FA0589" w:rsidRDefault="00B440DF" w:rsidP="00FB3714">
      <w:pPr>
        <w:pStyle w:val="Zkladntext"/>
        <w:pBdr>
          <w:bottom w:val="single" w:sz="12" w:space="1" w:color="008080"/>
        </w:pBdr>
        <w:tabs>
          <w:tab w:val="left" w:pos="2268"/>
        </w:tabs>
        <w:spacing w:before="240" w:line="360" w:lineRule="auto"/>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r w:rsidR="00FA0589">
        <w:rPr>
          <w:rFonts w:ascii="Times New Roman" w:hAnsi="Times New Roman"/>
          <w:i/>
        </w:rPr>
        <w:t>Bečov</w:t>
      </w:r>
      <w:r w:rsidR="00841B23" w:rsidRPr="00FA0589">
        <w:rPr>
          <w:rFonts w:ascii="Times New Roman" w:hAnsi="Times New Roman"/>
          <w:i/>
        </w:rPr>
        <w:t xml:space="preserve"> (60</w:t>
      </w:r>
      <w:r w:rsidR="00FA0589">
        <w:rPr>
          <w:rFonts w:ascii="Times New Roman" w:hAnsi="Times New Roman"/>
          <w:i/>
        </w:rPr>
        <w:t>5352</w:t>
      </w:r>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a) Objednatelem je zadavatel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b) Zhotovitelem je 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c) </w:t>
      </w: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subdodavatel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d) Příslušnou dokumentací je dokumentace zpracovaná v rozsahu stanoveném jiným právním předpisem (vyhláškou č. 231/2012 Sb.).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e) 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FA0589" w:rsidRDefault="003D56C8" w:rsidP="00E273E8">
      <w:pPr>
        <w:pStyle w:val="Odstavecseseznamem"/>
        <w:numPr>
          <w:ilvl w:val="1"/>
          <w:numId w:val="28"/>
        </w:numPr>
        <w:jc w:val="both"/>
        <w:rPr>
          <w:b/>
          <w:sz w:val="22"/>
          <w:szCs w:val="22"/>
        </w:rPr>
      </w:pPr>
      <w:r w:rsidRPr="00FA0589">
        <w:rPr>
          <w:b/>
          <w:sz w:val="22"/>
          <w:szCs w:val="22"/>
        </w:rPr>
        <w:t>Obec Blatno</w:t>
      </w:r>
      <w:r w:rsidRPr="003D56C8">
        <w:rPr>
          <w:sz w:val="22"/>
          <w:szCs w:val="22"/>
        </w:rPr>
        <w:t xml:space="preserve"> </w:t>
      </w:r>
      <w:r>
        <w:rPr>
          <w:sz w:val="22"/>
          <w:szCs w:val="22"/>
        </w:rPr>
        <w:t>(</w:t>
      </w:r>
      <w:r w:rsidRPr="00FA0589">
        <w:rPr>
          <w:sz w:val="22"/>
          <w:szCs w:val="22"/>
        </w:rPr>
        <w:t>dále jen „Objednatel“</w:t>
      </w:r>
      <w:r>
        <w:rPr>
          <w:sz w:val="22"/>
          <w:szCs w:val="22"/>
        </w:rPr>
        <w:t>)</w:t>
      </w:r>
    </w:p>
    <w:p w:rsidR="00FA0589" w:rsidRPr="00FA0589" w:rsidRDefault="00FA0589" w:rsidP="00FA0589">
      <w:pPr>
        <w:jc w:val="both"/>
        <w:rPr>
          <w:sz w:val="22"/>
          <w:szCs w:val="22"/>
        </w:rPr>
      </w:pPr>
      <w:r w:rsidRPr="00FA0589">
        <w:rPr>
          <w:sz w:val="22"/>
          <w:szCs w:val="22"/>
        </w:rPr>
        <w:t xml:space="preserve">Se sídlem: </w:t>
      </w:r>
      <w:r w:rsidRPr="00FA0589">
        <w:rPr>
          <w:sz w:val="22"/>
          <w:szCs w:val="22"/>
        </w:rPr>
        <w:tab/>
      </w:r>
      <w:r w:rsidRPr="00FA0589">
        <w:rPr>
          <w:sz w:val="22"/>
          <w:szCs w:val="22"/>
        </w:rPr>
        <w:tab/>
      </w:r>
      <w:r w:rsidRPr="00FA0589">
        <w:rPr>
          <w:sz w:val="22"/>
          <w:szCs w:val="22"/>
        </w:rPr>
        <w:tab/>
        <w:t>Blatno 1, 430 01 Blatno</w:t>
      </w:r>
    </w:p>
    <w:p w:rsidR="00C8377D" w:rsidRPr="00FA0589" w:rsidRDefault="00FA0589" w:rsidP="00FA0589">
      <w:pPr>
        <w:jc w:val="both"/>
        <w:rPr>
          <w:sz w:val="22"/>
          <w:szCs w:val="22"/>
        </w:rPr>
      </w:pPr>
      <w:r w:rsidRPr="00FA0589">
        <w:rPr>
          <w:sz w:val="22"/>
          <w:szCs w:val="22"/>
        </w:rPr>
        <w:t xml:space="preserve">Zastoupena: </w:t>
      </w:r>
      <w:r w:rsidRPr="00FA0589">
        <w:rPr>
          <w:sz w:val="22"/>
          <w:szCs w:val="22"/>
        </w:rPr>
        <w:tab/>
      </w:r>
      <w:r w:rsidRPr="00FA0589">
        <w:rPr>
          <w:sz w:val="22"/>
          <w:szCs w:val="22"/>
        </w:rPr>
        <w:tab/>
      </w:r>
      <w:r w:rsidRPr="00FA0589">
        <w:rPr>
          <w:sz w:val="22"/>
          <w:szCs w:val="22"/>
        </w:rPr>
        <w:tab/>
        <w:t xml:space="preserve">Ivetou </w:t>
      </w:r>
      <w:proofErr w:type="spellStart"/>
      <w:r w:rsidRPr="00FA0589">
        <w:rPr>
          <w:sz w:val="22"/>
          <w:szCs w:val="22"/>
        </w:rPr>
        <w:t>R</w:t>
      </w:r>
      <w:r w:rsidR="00C8377D">
        <w:rPr>
          <w:sz w:val="22"/>
          <w:szCs w:val="22"/>
        </w:rPr>
        <w:t>abasovou</w:t>
      </w:r>
      <w:proofErr w:type="spellEnd"/>
      <w:r w:rsidR="00C8377D">
        <w:rPr>
          <w:sz w:val="22"/>
          <w:szCs w:val="22"/>
        </w:rPr>
        <w:t xml:space="preserve"> </w:t>
      </w:r>
      <w:proofErr w:type="spellStart"/>
      <w:r w:rsidR="00C8377D">
        <w:rPr>
          <w:sz w:val="22"/>
          <w:szCs w:val="22"/>
        </w:rPr>
        <w:t>Houfovou</w:t>
      </w:r>
      <w:proofErr w:type="spellEnd"/>
      <w:r w:rsidR="00C8377D">
        <w:rPr>
          <w:sz w:val="22"/>
          <w:szCs w:val="22"/>
        </w:rPr>
        <w:t xml:space="preserve">, starostkou </w:t>
      </w:r>
    </w:p>
    <w:p w:rsidR="00FA0589" w:rsidRPr="00FA0589" w:rsidRDefault="00FA0589" w:rsidP="00FA0589">
      <w:pPr>
        <w:jc w:val="both"/>
        <w:rPr>
          <w:sz w:val="22"/>
          <w:szCs w:val="22"/>
        </w:rPr>
      </w:pPr>
      <w:r w:rsidRPr="00FA0589">
        <w:rPr>
          <w:sz w:val="22"/>
          <w:szCs w:val="22"/>
        </w:rPr>
        <w:t xml:space="preserve">IČ: </w:t>
      </w:r>
      <w:r w:rsidRPr="00FA0589">
        <w:rPr>
          <w:sz w:val="22"/>
          <w:szCs w:val="22"/>
        </w:rPr>
        <w:tab/>
      </w:r>
      <w:r w:rsidRPr="00FA0589">
        <w:rPr>
          <w:sz w:val="22"/>
          <w:szCs w:val="22"/>
        </w:rPr>
        <w:tab/>
      </w:r>
      <w:r w:rsidRPr="00FA0589">
        <w:rPr>
          <w:sz w:val="22"/>
          <w:szCs w:val="22"/>
        </w:rPr>
        <w:tab/>
      </w:r>
      <w:r w:rsidRPr="00FA0589">
        <w:rPr>
          <w:sz w:val="22"/>
          <w:szCs w:val="22"/>
        </w:rPr>
        <w:tab/>
        <w:t xml:space="preserve">00261807    </w:t>
      </w:r>
    </w:p>
    <w:p w:rsidR="00FA0589" w:rsidRPr="00FA0589" w:rsidRDefault="00FA0589" w:rsidP="00FA0589">
      <w:pPr>
        <w:jc w:val="both"/>
        <w:rPr>
          <w:sz w:val="22"/>
          <w:szCs w:val="22"/>
        </w:rPr>
      </w:pPr>
      <w:r w:rsidRPr="00FA0589">
        <w:rPr>
          <w:sz w:val="22"/>
          <w:szCs w:val="22"/>
        </w:rPr>
        <w:t xml:space="preserve">DIČ: </w:t>
      </w:r>
      <w:r w:rsidRPr="00FA0589">
        <w:rPr>
          <w:sz w:val="22"/>
          <w:szCs w:val="22"/>
        </w:rPr>
        <w:tab/>
      </w:r>
      <w:r w:rsidRPr="00FA0589">
        <w:rPr>
          <w:sz w:val="22"/>
          <w:szCs w:val="22"/>
        </w:rPr>
        <w:tab/>
      </w:r>
      <w:r w:rsidRPr="00FA0589">
        <w:rPr>
          <w:sz w:val="22"/>
          <w:szCs w:val="22"/>
        </w:rPr>
        <w:tab/>
      </w:r>
      <w:r w:rsidRPr="00FA0589">
        <w:rPr>
          <w:sz w:val="22"/>
          <w:szCs w:val="22"/>
        </w:rPr>
        <w:tab/>
        <w:t xml:space="preserve">CZ00261807     </w:t>
      </w:r>
    </w:p>
    <w:p w:rsidR="00FA0589" w:rsidRPr="00FA0589" w:rsidRDefault="00FA0589" w:rsidP="00FA0589">
      <w:pPr>
        <w:jc w:val="both"/>
        <w:rPr>
          <w:sz w:val="22"/>
          <w:szCs w:val="22"/>
        </w:rPr>
      </w:pPr>
      <w:r w:rsidRPr="00FA0589">
        <w:rPr>
          <w:sz w:val="22"/>
          <w:szCs w:val="22"/>
        </w:rPr>
        <w:t xml:space="preserve">Bankovní spojení: </w:t>
      </w:r>
      <w:r w:rsidRPr="00FA0589">
        <w:rPr>
          <w:sz w:val="22"/>
          <w:szCs w:val="22"/>
        </w:rPr>
        <w:tab/>
      </w:r>
      <w:r w:rsidRPr="00FA0589">
        <w:rPr>
          <w:sz w:val="22"/>
          <w:szCs w:val="22"/>
        </w:rPr>
        <w:tab/>
        <w:t>Československá obchodní banka, a.s., pobočka Chomutov</w:t>
      </w:r>
    </w:p>
    <w:p w:rsidR="00FA0589" w:rsidRPr="00FA0589" w:rsidRDefault="00FA0589" w:rsidP="00FA0589">
      <w:pPr>
        <w:jc w:val="both"/>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t>109600739/0300</w:t>
      </w:r>
    </w:p>
    <w:p w:rsidR="00FA0589" w:rsidRPr="00FA0589" w:rsidRDefault="00FA0589" w:rsidP="00FA0589">
      <w:pPr>
        <w:jc w:val="both"/>
        <w:rPr>
          <w:sz w:val="22"/>
          <w:szCs w:val="22"/>
        </w:rPr>
      </w:pPr>
      <w:r w:rsidRPr="00FA0589">
        <w:rPr>
          <w:sz w:val="22"/>
          <w:szCs w:val="22"/>
        </w:rPr>
        <w:t xml:space="preserve">Kontaktní osoba: </w:t>
      </w:r>
      <w:r w:rsidR="00C8377D">
        <w:rPr>
          <w:sz w:val="22"/>
          <w:szCs w:val="22"/>
        </w:rPr>
        <w:tab/>
      </w:r>
      <w:r w:rsidR="00C8377D">
        <w:rPr>
          <w:sz w:val="22"/>
          <w:szCs w:val="22"/>
        </w:rPr>
        <w:tab/>
      </w:r>
      <w:r w:rsidRPr="00FA0589">
        <w:rPr>
          <w:sz w:val="22"/>
          <w:szCs w:val="22"/>
        </w:rPr>
        <w:t xml:space="preserve">Iveta Rabasová Houfová, starostka </w:t>
      </w:r>
    </w:p>
    <w:p w:rsidR="00FA0589" w:rsidRPr="00FA0589" w:rsidRDefault="00FA0589" w:rsidP="00FA0589">
      <w:pPr>
        <w:jc w:val="both"/>
        <w:rPr>
          <w:sz w:val="22"/>
          <w:szCs w:val="22"/>
        </w:rPr>
      </w:pPr>
      <w:r w:rsidRPr="00FA0589">
        <w:rPr>
          <w:sz w:val="22"/>
          <w:szCs w:val="22"/>
        </w:rPr>
        <w:t xml:space="preserve">Telefon, mobil, fax, e-mail: </w:t>
      </w:r>
      <w:r w:rsidRPr="00FA0589">
        <w:rPr>
          <w:sz w:val="22"/>
          <w:szCs w:val="22"/>
        </w:rPr>
        <w:tab/>
        <w:t xml:space="preserve">+ 420 474 625 839, + 420 603 563 675, </w:t>
      </w:r>
      <w:hyperlink r:id="rId8" w:history="1">
        <w:r w:rsidRPr="00FA0589">
          <w:rPr>
            <w:rStyle w:val="Hypertextovodkaz"/>
            <w:sz w:val="22"/>
            <w:szCs w:val="22"/>
          </w:rPr>
          <w:t>uradblatno@centrum.cz</w:t>
        </w:r>
      </w:hyperlink>
      <w:r w:rsidRPr="00FA0589">
        <w:rPr>
          <w:sz w:val="22"/>
          <w:szCs w:val="22"/>
        </w:rPr>
        <w:t xml:space="preserve"> </w:t>
      </w:r>
    </w:p>
    <w:p w:rsidR="00FA0589" w:rsidRPr="00FA0589" w:rsidRDefault="00FA0589" w:rsidP="00FA0589">
      <w:pPr>
        <w:tabs>
          <w:tab w:val="left" w:pos="284"/>
          <w:tab w:val="left" w:pos="3828"/>
        </w:tabs>
        <w:jc w:val="both"/>
        <w:rPr>
          <w:sz w:val="22"/>
          <w:szCs w:val="22"/>
        </w:rPr>
      </w:pPr>
    </w:p>
    <w:p w:rsidR="00FA0589" w:rsidRPr="00FA0589" w:rsidRDefault="00FA0589" w:rsidP="00FA0589">
      <w:pPr>
        <w:tabs>
          <w:tab w:val="left" w:pos="284"/>
          <w:tab w:val="left" w:pos="3828"/>
        </w:tabs>
        <w:ind w:left="284"/>
        <w:jc w:val="both"/>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Pr>
          <w:b/>
          <w:sz w:val="22"/>
          <w:szCs w:val="22"/>
        </w:rPr>
        <w:t xml:space="preserve">1.2  </w:t>
      </w:r>
      <w:r w:rsidR="003D56C8">
        <w:rPr>
          <w:b/>
          <w:sz w:val="22"/>
          <w:szCs w:val="22"/>
        </w:rPr>
        <w:t>Zhotovitel</w:t>
      </w:r>
      <w:proofErr w:type="gramEnd"/>
      <w:r w:rsidR="00FA0589" w:rsidRPr="00FA0589">
        <w:rPr>
          <w:b/>
          <w:sz w:val="22"/>
          <w:szCs w:val="22"/>
        </w:rPr>
        <w:t xml:space="preserve">                                       </w:t>
      </w:r>
      <w:r w:rsidR="00FA0589" w:rsidRPr="00FA0589">
        <w:rPr>
          <w:b/>
          <w:sz w:val="22"/>
          <w:szCs w:val="22"/>
        </w:rPr>
        <w:tab/>
        <w:t xml:space="preserve"> </w:t>
      </w:r>
      <w:r w:rsidR="00FA0589"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C8377D" w:rsidRPr="00C8377D">
        <w:rPr>
          <w:rFonts w:ascii="Times New Roman" w:hAnsi="Times New Roman"/>
          <w:sz w:val="22"/>
        </w:rPr>
        <w:t>Iveta Rabasová Houfová, starostka</w:t>
      </w:r>
    </w:p>
    <w:p w:rsidR="007E2009" w:rsidRPr="00FA0589" w:rsidRDefault="00911768" w:rsidP="00FC2EB0">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A0F91" w:rsidRPr="00FA0589">
        <w:rPr>
          <w:rFonts w:ascii="Times New Roman" w:hAnsi="Times New Roman"/>
          <w:sz w:val="22"/>
        </w:rPr>
        <w:tab/>
      </w:r>
      <w:r w:rsidR="007E2009" w:rsidRPr="00FA0589">
        <w:rPr>
          <w:rFonts w:ascii="Times New Roman" w:hAnsi="Times New Roman"/>
          <w:sz w:val="22"/>
        </w:rPr>
        <w:t>______________________</w:t>
      </w:r>
    </w:p>
    <w:p w:rsidR="00911768" w:rsidRPr="00FA0589" w:rsidRDefault="007E2009" w:rsidP="00AE3BEC">
      <w:pPr>
        <w:pStyle w:val="Zkladntext"/>
        <w:tabs>
          <w:tab w:val="left" w:pos="2268"/>
        </w:tabs>
        <w:ind w:left="2832" w:hanging="2832"/>
        <w:rPr>
          <w:rFonts w:ascii="Times New Roman" w:hAnsi="Times New Roman"/>
          <w:sz w:val="22"/>
        </w:rPr>
      </w:pPr>
      <w:r w:rsidRPr="00FA0589">
        <w:rPr>
          <w:rFonts w:ascii="Times New Roman" w:hAnsi="Times New Roman"/>
          <w:sz w:val="22"/>
        </w:rPr>
        <w:t>[t</w:t>
      </w:r>
      <w:r w:rsidR="00AE3BEC" w:rsidRPr="00FA0589">
        <w:rPr>
          <w:rFonts w:ascii="Times New Roman" w:hAnsi="Times New Roman"/>
          <w:sz w:val="22"/>
        </w:rPr>
        <w:t>echnický dozor investora (</w:t>
      </w:r>
      <w:r w:rsidR="00E65A30" w:rsidRPr="00FA0589">
        <w:rPr>
          <w:rFonts w:ascii="Times New Roman" w:hAnsi="Times New Roman"/>
          <w:sz w:val="22"/>
        </w:rPr>
        <w:t>TDI</w:t>
      </w:r>
      <w:r w:rsidR="00AE3BEC" w:rsidRPr="00FA0589">
        <w:rPr>
          <w:rFonts w:ascii="Times New Roman" w:hAnsi="Times New Roman"/>
          <w:sz w:val="22"/>
        </w:rPr>
        <w:t>)</w:t>
      </w:r>
      <w:r w:rsidR="00E65A30" w:rsidRPr="00FA0589">
        <w:rPr>
          <w:rFonts w:ascii="Times New Roman" w:hAnsi="Times New Roman"/>
          <w:sz w:val="22"/>
        </w:rPr>
        <w:t xml:space="preserve"> bude stanoven nejpozději ke dni předání staveniště</w:t>
      </w:r>
      <w:r w:rsidRPr="00FA0589">
        <w:rPr>
          <w:rFonts w:ascii="Times New Roman" w:hAnsi="Times New Roman"/>
          <w:sz w:val="22"/>
        </w:rPr>
        <w:t>]</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w:t>
      </w:r>
      <w:r w:rsidR="00CA1DD4" w:rsidRPr="00FA0589">
        <w:rPr>
          <w:rFonts w:ascii="Times New Roman" w:hAnsi="Times New Roman"/>
          <w:sz w:val="22"/>
        </w:rPr>
        <w:t xml:space="preserve">touto smlouvou </w:t>
      </w:r>
      <w:r w:rsidRPr="00FA0589">
        <w:rPr>
          <w:rFonts w:ascii="Times New Roman" w:hAnsi="Times New Roman"/>
          <w:sz w:val="22"/>
        </w:rPr>
        <w:t>z</w:t>
      </w:r>
      <w:r w:rsidR="009E65CF" w:rsidRPr="00FA0589">
        <w:rPr>
          <w:rFonts w:ascii="Times New Roman" w:hAnsi="Times New Roman"/>
          <w:sz w:val="22"/>
        </w:rPr>
        <w:t>avazuje provést pro objednatele</w:t>
      </w:r>
      <w:r w:rsidRPr="00FA0589">
        <w:rPr>
          <w:rFonts w:ascii="Times New Roman" w:hAnsi="Times New Roman"/>
          <w:sz w:val="22"/>
        </w:rPr>
        <w:t xml:space="preserve"> dílo</w:t>
      </w:r>
      <w:r w:rsidR="00CA1DD4" w:rsidRPr="00FA0589">
        <w:rPr>
          <w:rFonts w:ascii="Times New Roman" w:hAnsi="Times New Roman"/>
          <w:sz w:val="22"/>
        </w:rPr>
        <w:t>:</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FB3714" w:rsidRPr="00FB3714">
        <w:rPr>
          <w:rFonts w:ascii="Times New Roman" w:hAnsi="Times New Roman"/>
          <w:b/>
          <w:sz w:val="28"/>
          <w:szCs w:val="24"/>
        </w:rPr>
        <w:t>Oprava a čištění požární nádrže Bečov</w:t>
      </w:r>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FA0589" w:rsidRDefault="006D570F" w:rsidP="00566C09">
      <w:pPr>
        <w:pStyle w:val="Zkladntext"/>
        <w:tabs>
          <w:tab w:val="left" w:pos="2268"/>
        </w:tabs>
        <w:spacing w:before="120"/>
        <w:rPr>
          <w:rFonts w:ascii="Times New Roman" w:hAnsi="Times New Roman"/>
          <w:sz w:val="22"/>
        </w:rPr>
      </w:pPr>
      <w:r w:rsidRPr="00FA0589">
        <w:rPr>
          <w:rFonts w:ascii="Times New Roman" w:hAnsi="Times New Roman"/>
          <w:sz w:val="22"/>
        </w:rPr>
        <w:t>v rozsahu dle zadávací dokumentace (včetně příloh) k veřejné zakázce</w:t>
      </w:r>
      <w:r w:rsidR="009B084E" w:rsidRPr="00FA0589">
        <w:rPr>
          <w:rFonts w:ascii="Times New Roman" w:hAnsi="Times New Roman"/>
          <w:sz w:val="22"/>
        </w:rPr>
        <w:t xml:space="preserve"> uveřejněné </w:t>
      </w:r>
      <w:r w:rsidR="001A7D52" w:rsidRPr="00FA0589">
        <w:rPr>
          <w:rFonts w:ascii="Times New Roman" w:hAnsi="Times New Roman"/>
          <w:sz w:val="22"/>
        </w:rPr>
        <w:t>na </w:t>
      </w:r>
      <w:r w:rsidR="00C8377D">
        <w:rPr>
          <w:rFonts w:ascii="Times New Roman" w:hAnsi="Times New Roman"/>
          <w:sz w:val="22"/>
        </w:rPr>
        <w:t>webových stránkách obce</w:t>
      </w:r>
      <w:r w:rsidR="00C8377D" w:rsidRPr="00C8377D">
        <w:t xml:space="preserve"> </w:t>
      </w:r>
      <w:hyperlink r:id="rId9" w:history="1">
        <w:r w:rsidR="00C8377D" w:rsidRPr="003B574D">
          <w:rPr>
            <w:rStyle w:val="Hypertextovodkaz"/>
            <w:rFonts w:ascii="Times New Roman" w:hAnsi="Times New Roman"/>
            <w:sz w:val="22"/>
          </w:rPr>
          <w:t>http://www.obec-blatno.cz/</w:t>
        </w:r>
      </w:hyperlink>
      <w:r w:rsidR="00C8377D">
        <w:rPr>
          <w:rFonts w:ascii="Times New Roman" w:hAnsi="Times New Roman"/>
          <w:sz w:val="22"/>
        </w:rPr>
        <w:t xml:space="preserve"> d</w:t>
      </w:r>
      <w:r w:rsidR="005275EE" w:rsidRPr="00FA0589">
        <w:rPr>
          <w:rFonts w:ascii="Times New Roman" w:hAnsi="Times New Roman"/>
          <w:sz w:val="22"/>
        </w:rPr>
        <w:t xml:space="preserve">ne </w:t>
      </w:r>
      <w:r w:rsidR="00C8377D">
        <w:rPr>
          <w:rFonts w:ascii="Times New Roman" w:hAnsi="Times New Roman"/>
          <w:sz w:val="22"/>
        </w:rPr>
        <w:t>1. 12</w:t>
      </w:r>
      <w:r w:rsidR="00053AD0" w:rsidRPr="00FA0589">
        <w:rPr>
          <w:rFonts w:ascii="Times New Roman" w:hAnsi="Times New Roman"/>
          <w:sz w:val="22"/>
        </w:rPr>
        <w:t>. 2016</w:t>
      </w:r>
      <w:r w:rsidR="005275EE" w:rsidRPr="00FA0589">
        <w:rPr>
          <w:rFonts w:ascii="Times New Roman" w:hAnsi="Times New Roman"/>
          <w:sz w:val="22"/>
        </w:rPr>
        <w:t xml:space="preserve"> a v souladu s nabídkou zhotovitele předloženou v</w:t>
      </w:r>
      <w:r w:rsidR="00FA6D8F" w:rsidRPr="00FA0589">
        <w:rPr>
          <w:rFonts w:ascii="Times New Roman" w:hAnsi="Times New Roman"/>
          <w:sz w:val="22"/>
        </w:rPr>
        <w:t>e</w:t>
      </w:r>
      <w:r w:rsidR="005275EE" w:rsidRPr="00FA0589">
        <w:rPr>
          <w:rFonts w:ascii="Times New Roman" w:hAnsi="Times New Roman"/>
          <w:sz w:val="22"/>
        </w:rPr>
        <w:t> </w:t>
      </w:r>
      <w:r w:rsidR="00C8377D">
        <w:rPr>
          <w:rFonts w:ascii="Times New Roman" w:hAnsi="Times New Roman"/>
          <w:sz w:val="22"/>
        </w:rPr>
        <w:t>výběrovém řízení zadávaném</w:t>
      </w:r>
      <w:r w:rsidR="00C8377D" w:rsidRPr="00C8377D">
        <w:rPr>
          <w:rFonts w:ascii="Times New Roman" w:hAnsi="Times New Roman"/>
          <w:sz w:val="22"/>
        </w:rPr>
        <w:t xml:space="preserve"> mimo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6B7F82" w:rsidRPr="00FA0589" w:rsidRDefault="00CC6C01" w:rsidP="00444941">
      <w:pPr>
        <w:pStyle w:val="Zkladntext"/>
        <w:tabs>
          <w:tab w:val="left" w:pos="2268"/>
        </w:tabs>
        <w:spacing w:before="120"/>
        <w:rPr>
          <w:rFonts w:ascii="Times New Roman" w:hAnsi="Times New Roman"/>
          <w:b/>
          <w:sz w:val="22"/>
        </w:rPr>
      </w:pPr>
      <w:r w:rsidRPr="00FA0589">
        <w:rPr>
          <w:rFonts w:ascii="Times New Roman" w:hAnsi="Times New Roman"/>
          <w:b/>
          <w:sz w:val="22"/>
        </w:rPr>
        <w:t xml:space="preserve">Předmětem </w:t>
      </w:r>
      <w:r w:rsidR="008B7878" w:rsidRPr="00FA0589">
        <w:rPr>
          <w:rFonts w:ascii="Times New Roman" w:hAnsi="Times New Roman"/>
          <w:b/>
          <w:sz w:val="22"/>
        </w:rPr>
        <w:t>d</w:t>
      </w:r>
      <w:r w:rsidR="00CA637A" w:rsidRPr="00FA0589">
        <w:rPr>
          <w:rFonts w:ascii="Times New Roman" w:hAnsi="Times New Roman"/>
          <w:b/>
          <w:sz w:val="22"/>
        </w:rPr>
        <w:t xml:space="preserve">íla je </w:t>
      </w:r>
      <w:r w:rsidR="00FB3714">
        <w:rPr>
          <w:rFonts w:ascii="Times New Roman" w:hAnsi="Times New Roman"/>
          <w:b/>
          <w:sz w:val="22"/>
        </w:rPr>
        <w:t>o</w:t>
      </w:r>
      <w:r w:rsidR="00FB3714" w:rsidRPr="00FB3714">
        <w:rPr>
          <w:rFonts w:ascii="Times New Roman" w:hAnsi="Times New Roman"/>
          <w:b/>
          <w:sz w:val="22"/>
        </w:rPr>
        <w:t>prava a čištění požární nádrže Bečov</w:t>
      </w:r>
      <w:r w:rsidR="00FB3714">
        <w:rPr>
          <w:rFonts w:ascii="Times New Roman" w:hAnsi="Times New Roman"/>
          <w:b/>
          <w:sz w:val="22"/>
        </w:rPr>
        <w:t>, která je</w:t>
      </w:r>
      <w:r w:rsidR="00FB3714" w:rsidRPr="00FB3714">
        <w:rPr>
          <w:rFonts w:ascii="Times New Roman" w:hAnsi="Times New Roman"/>
          <w:b/>
          <w:sz w:val="22"/>
        </w:rPr>
        <w:t xml:space="preserve"> </w:t>
      </w:r>
      <w:r w:rsidR="006B7F82" w:rsidRPr="00FA0589">
        <w:rPr>
          <w:rFonts w:ascii="Times New Roman" w:hAnsi="Times New Roman"/>
          <w:b/>
          <w:sz w:val="22"/>
        </w:rPr>
        <w:t xml:space="preserve">v majetku a správě </w:t>
      </w:r>
      <w:r w:rsidR="00C8377D">
        <w:rPr>
          <w:rFonts w:ascii="Times New Roman" w:hAnsi="Times New Roman"/>
          <w:b/>
          <w:sz w:val="22"/>
        </w:rPr>
        <w:t>obce Blatno</w:t>
      </w:r>
      <w:r w:rsidR="00FB3714">
        <w:rPr>
          <w:rFonts w:ascii="Times New Roman" w:hAnsi="Times New Roman"/>
          <w:b/>
          <w:sz w:val="22"/>
        </w:rPr>
        <w:t>. Oprava a čištění</w:t>
      </w:r>
      <w:r w:rsidR="0012151C">
        <w:rPr>
          <w:rFonts w:ascii="Times New Roman" w:hAnsi="Times New Roman"/>
          <w:b/>
          <w:sz w:val="22"/>
        </w:rPr>
        <w:t xml:space="preserve"> požární nádrže</w:t>
      </w:r>
      <w:r w:rsidR="006B7F82" w:rsidRPr="00FA0589">
        <w:rPr>
          <w:rFonts w:ascii="Times New Roman" w:hAnsi="Times New Roman"/>
          <w:b/>
          <w:sz w:val="22"/>
        </w:rPr>
        <w:t xml:space="preserve"> bude provedena tak, aby jej</w:t>
      </w:r>
      <w:r w:rsidR="00FB3714">
        <w:rPr>
          <w:rFonts w:ascii="Times New Roman" w:hAnsi="Times New Roman"/>
          <w:b/>
          <w:sz w:val="22"/>
        </w:rPr>
        <w:t>í</w:t>
      </w:r>
      <w:r w:rsidR="006B7F82" w:rsidRPr="00FA0589">
        <w:rPr>
          <w:rFonts w:ascii="Times New Roman" w:hAnsi="Times New Roman"/>
          <w:b/>
          <w:sz w:val="22"/>
        </w:rPr>
        <w:t xml:space="preserve"> základní technické parametry byly v souladu</w:t>
      </w:r>
      <w:r w:rsidR="00FB3714">
        <w:rPr>
          <w:rFonts w:ascii="Times New Roman" w:hAnsi="Times New Roman"/>
          <w:b/>
          <w:sz w:val="22"/>
        </w:rPr>
        <w:t xml:space="preserve"> s normami a byla zajištěna její</w:t>
      </w:r>
      <w:r w:rsidR="006B7F82" w:rsidRPr="00FA0589">
        <w:rPr>
          <w:rFonts w:ascii="Times New Roman" w:hAnsi="Times New Roman"/>
          <w:b/>
          <w:sz w:val="22"/>
        </w:rPr>
        <w:t xml:space="preserve"> bezpečnost a vodohospodářsk</w:t>
      </w:r>
      <w:r w:rsidR="00FB3714">
        <w:rPr>
          <w:rFonts w:ascii="Times New Roman" w:hAnsi="Times New Roman"/>
          <w:b/>
          <w:sz w:val="22"/>
        </w:rPr>
        <w:t>á</w:t>
      </w:r>
      <w:r w:rsidR="006B7F82" w:rsidRPr="00FA0589">
        <w:rPr>
          <w:rFonts w:ascii="Times New Roman" w:hAnsi="Times New Roman"/>
          <w:b/>
          <w:sz w:val="22"/>
        </w:rPr>
        <w:t xml:space="preserve"> funkce. Jedná se především o zvýšení retenční schopnosti o obnovu nefunkčních částí.</w:t>
      </w:r>
    </w:p>
    <w:p w:rsidR="006B7F82" w:rsidRPr="00FA0589" w:rsidRDefault="006B7F82" w:rsidP="00444941">
      <w:pPr>
        <w:pStyle w:val="Zkladntext"/>
        <w:tabs>
          <w:tab w:val="left" w:pos="2268"/>
        </w:tabs>
        <w:spacing w:before="120"/>
        <w:rPr>
          <w:rFonts w:ascii="Times New Roman" w:hAnsi="Times New Roman"/>
          <w:sz w:val="22"/>
        </w:rPr>
      </w:pPr>
      <w:r w:rsidRPr="00FA0589">
        <w:rPr>
          <w:rFonts w:ascii="Times New Roman" w:hAnsi="Times New Roman"/>
          <w:sz w:val="22"/>
        </w:rPr>
        <w:t>Jedná se o:</w:t>
      </w:r>
    </w:p>
    <w:p w:rsidR="0012151C" w:rsidRPr="0012151C" w:rsidRDefault="0012151C" w:rsidP="00E273E8">
      <w:pPr>
        <w:pStyle w:val="Odstavecseseznamem"/>
        <w:numPr>
          <w:ilvl w:val="0"/>
          <w:numId w:val="27"/>
        </w:numPr>
        <w:spacing w:before="120"/>
        <w:jc w:val="both"/>
        <w:rPr>
          <w:b/>
          <w:sz w:val="22"/>
          <w:szCs w:val="20"/>
        </w:rPr>
      </w:pPr>
      <w:r>
        <w:rPr>
          <w:b/>
          <w:sz w:val="22"/>
          <w:szCs w:val="20"/>
        </w:rPr>
        <w:t xml:space="preserve">požární nádrž na </w:t>
      </w:r>
      <w:proofErr w:type="spellStart"/>
      <w:proofErr w:type="gramStart"/>
      <w:r>
        <w:rPr>
          <w:b/>
          <w:sz w:val="22"/>
          <w:szCs w:val="20"/>
        </w:rPr>
        <w:t>p.č</w:t>
      </w:r>
      <w:proofErr w:type="spellEnd"/>
      <w:r>
        <w:rPr>
          <w:b/>
          <w:sz w:val="22"/>
          <w:szCs w:val="20"/>
        </w:rPr>
        <w:t>.</w:t>
      </w:r>
      <w:proofErr w:type="gramEnd"/>
      <w:r>
        <w:rPr>
          <w:b/>
          <w:sz w:val="22"/>
          <w:szCs w:val="20"/>
        </w:rPr>
        <w:t xml:space="preserve"> 25 v k.</w:t>
      </w:r>
      <w:proofErr w:type="spellStart"/>
      <w:r>
        <w:rPr>
          <w:b/>
          <w:sz w:val="22"/>
          <w:szCs w:val="20"/>
        </w:rPr>
        <w:t>ú</w:t>
      </w:r>
      <w:proofErr w:type="spellEnd"/>
      <w:r>
        <w:rPr>
          <w:b/>
          <w:sz w:val="22"/>
          <w:szCs w:val="20"/>
        </w:rPr>
        <w:t>. Bečov</w:t>
      </w:r>
    </w:p>
    <w:p w:rsidR="008B7878" w:rsidRPr="00FA0589" w:rsidRDefault="008B7878" w:rsidP="00F85146">
      <w:pPr>
        <w:pStyle w:val="Zkladntext"/>
        <w:tabs>
          <w:tab w:val="left" w:pos="2268"/>
        </w:tabs>
        <w:spacing w:before="120"/>
        <w:rPr>
          <w:rFonts w:ascii="Times New Roman" w:hAnsi="Times New Roman"/>
          <w:sz w:val="22"/>
        </w:rPr>
      </w:pPr>
      <w:r w:rsidRPr="00FA0589">
        <w:rPr>
          <w:rFonts w:ascii="Times New Roman" w:hAnsi="Times New Roman"/>
          <w:sz w:val="22"/>
        </w:rPr>
        <w:t>Zhotovením d</w:t>
      </w:r>
      <w:r w:rsidR="0063358C" w:rsidRPr="00FA0589">
        <w:rPr>
          <w:rFonts w:ascii="Times New Roman" w:hAnsi="Times New Roman"/>
          <w:sz w:val="22"/>
        </w:rPr>
        <w:t>íla</w:t>
      </w:r>
      <w:r w:rsidR="00E56052" w:rsidRPr="00FA0589">
        <w:rPr>
          <w:rFonts w:ascii="Times New Roman" w:hAnsi="Times New Roman"/>
          <w:sz w:val="22"/>
        </w:rPr>
        <w:t xml:space="preserve"> se rozumí úplné, funkční a bezvadné provedení všech stavebních a montážních prací a konstrukcí, včetně dodávek potřebných materiálů a zařízení nezbytných pro</w:t>
      </w:r>
      <w:r w:rsidR="007E3121" w:rsidRPr="00FA0589">
        <w:rPr>
          <w:rFonts w:ascii="Times New Roman" w:hAnsi="Times New Roman"/>
          <w:sz w:val="22"/>
        </w:rPr>
        <w:t xml:space="preserve"> řádné dokončení </w:t>
      </w:r>
      <w:r w:rsidR="008B39D5" w:rsidRPr="00FA0589">
        <w:rPr>
          <w:rFonts w:ascii="Times New Roman" w:hAnsi="Times New Roman"/>
          <w:sz w:val="22"/>
        </w:rPr>
        <w:t>díla</w:t>
      </w:r>
      <w:r w:rsidR="007E3121" w:rsidRPr="00FA0589">
        <w:rPr>
          <w:rFonts w:ascii="Times New Roman" w:hAnsi="Times New Roman"/>
          <w:sz w:val="22"/>
        </w:rPr>
        <w:t>. D</w:t>
      </w:r>
      <w:r w:rsidR="00E56052" w:rsidRPr="00FA0589">
        <w:rPr>
          <w:rFonts w:ascii="Times New Roman" w:hAnsi="Times New Roman"/>
          <w:sz w:val="22"/>
        </w:rPr>
        <w:t xml:space="preserve">ále </w:t>
      </w:r>
      <w:r w:rsidR="007E3121" w:rsidRPr="00FA0589">
        <w:rPr>
          <w:rFonts w:ascii="Times New Roman" w:hAnsi="Times New Roman"/>
          <w:sz w:val="22"/>
        </w:rPr>
        <w:t xml:space="preserve">se jedná o </w:t>
      </w:r>
      <w:r w:rsidR="00E56052" w:rsidRPr="00FA0589">
        <w:rPr>
          <w:rFonts w:ascii="Times New Roman" w:hAnsi="Times New Roman"/>
          <w:sz w:val="22"/>
        </w:rPr>
        <w:t xml:space="preserve">provedení všech činností souvisejících s dodávkou stavebních a montážních prací a konstrukcí jejichž provedení je pro řádné dokončení díla nezbytné (např. </w:t>
      </w:r>
      <w:r w:rsidR="00BE1A48" w:rsidRPr="00FA0589">
        <w:rPr>
          <w:rFonts w:ascii="Times New Roman" w:hAnsi="Times New Roman"/>
          <w:sz w:val="22"/>
        </w:rPr>
        <w:t>ochrana stávajících</w:t>
      </w:r>
      <w:r w:rsidR="00CA789D" w:rsidRPr="00FA0589">
        <w:rPr>
          <w:rFonts w:ascii="Times New Roman" w:hAnsi="Times New Roman"/>
          <w:sz w:val="22"/>
        </w:rPr>
        <w:t xml:space="preserve"> inženýrských sítí</w:t>
      </w:r>
      <w:r w:rsidR="00E56052" w:rsidRPr="00FA0589">
        <w:rPr>
          <w:rFonts w:ascii="Times New Roman" w:hAnsi="Times New Roman"/>
          <w:sz w:val="22"/>
        </w:rPr>
        <w:t>, zařízení staveniště, bezpečnostní opatření, apod.).</w:t>
      </w:r>
      <w:r w:rsidR="00F85146" w:rsidRPr="00FA0589">
        <w:rPr>
          <w:rFonts w:ascii="Times New Roman" w:hAnsi="Times New Roman"/>
          <w:sz w:val="22"/>
        </w:rPr>
        <w:t xml:space="preserve"> </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 </w:t>
      </w:r>
      <w:r w:rsidR="0075662F" w:rsidRPr="00FA0589">
        <w:rPr>
          <w:rFonts w:ascii="Times New Roman" w:hAnsi="Times New Roman"/>
          <w:sz w:val="22"/>
        </w:rPr>
        <w:t xml:space="preserve">pro </w:t>
      </w:r>
      <w:r w:rsidR="00F21DBF" w:rsidRPr="00FA0589">
        <w:rPr>
          <w:rFonts w:ascii="Times New Roman" w:hAnsi="Times New Roman"/>
          <w:sz w:val="22"/>
        </w:rPr>
        <w:t>provedení stavby</w:t>
      </w:r>
      <w:r w:rsidR="003D56C8">
        <w:rPr>
          <w:rFonts w:ascii="Times New Roman" w:hAnsi="Times New Roman"/>
          <w:sz w:val="22"/>
        </w:rPr>
        <w:t>, kter</w:t>
      </w:r>
      <w:r w:rsidR="00FB3714">
        <w:rPr>
          <w:rFonts w:ascii="Times New Roman" w:hAnsi="Times New Roman"/>
          <w:sz w:val="22"/>
        </w:rPr>
        <w:t>ou</w:t>
      </w:r>
      <w:r w:rsidR="003D56C8">
        <w:rPr>
          <w:rFonts w:ascii="Times New Roman" w:hAnsi="Times New Roman"/>
          <w:sz w:val="22"/>
        </w:rPr>
        <w:t xml:space="preserve">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2151C"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 xml:space="preserve">Ing. Josef </w:t>
      </w:r>
      <w:proofErr w:type="spellStart"/>
      <w:r w:rsidRPr="0012151C">
        <w:rPr>
          <w:rFonts w:ascii="Times New Roman" w:hAnsi="Times New Roman"/>
          <w:sz w:val="22"/>
        </w:rPr>
        <w:t>Kesler</w:t>
      </w:r>
      <w:proofErr w:type="spellEnd"/>
      <w:r w:rsidRPr="0012151C">
        <w:rPr>
          <w:rFonts w:ascii="Times New Roman" w:hAnsi="Times New Roman"/>
          <w:sz w:val="22"/>
        </w:rPr>
        <w:t>, IČ: 13311182, Se</w:t>
      </w:r>
      <w:r>
        <w:rPr>
          <w:rFonts w:ascii="Times New Roman" w:hAnsi="Times New Roman"/>
          <w:sz w:val="22"/>
        </w:rPr>
        <w:t>ifertova 4164, Chomutov, 430 03</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autorizace: 0400021 (autorizovaný inženýr pro vodohospodářské stavby)</w:t>
      </w:r>
      <w:r>
        <w:rPr>
          <w:rFonts w:ascii="Times New Roman" w:hAnsi="Times New Roman"/>
          <w:sz w:val="22"/>
        </w:rPr>
        <w:t>.</w:t>
      </w: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2C0CF7" w:rsidRPr="00FA0589">
        <w:rPr>
          <w:rFonts w:ascii="Times New Roman" w:hAnsi="Times New Roman"/>
          <w:sz w:val="22"/>
        </w:rPr>
        <w:t>ytýčení stavby a inže</w:t>
      </w:r>
      <w:r w:rsidR="00AF5316" w:rsidRPr="00FA0589">
        <w:rPr>
          <w:rFonts w:ascii="Times New Roman" w:hAnsi="Times New Roman"/>
          <w:sz w:val="22"/>
        </w:rPr>
        <w:t>nýrských sítí dotčených stavbou;</w:t>
      </w:r>
    </w:p>
    <w:p w:rsidR="00FD3F94"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w:t>
      </w:r>
      <w:r w:rsidR="00FD3F94" w:rsidRPr="00FA0589">
        <w:rPr>
          <w:rFonts w:ascii="Times New Roman" w:hAnsi="Times New Roman"/>
          <w:sz w:val="22"/>
        </w:rPr>
        <w:t>chran</w:t>
      </w:r>
      <w:r w:rsidR="00AF5316" w:rsidRPr="00FA0589">
        <w:rPr>
          <w:rFonts w:ascii="Times New Roman" w:hAnsi="Times New Roman"/>
          <w:sz w:val="22"/>
        </w:rPr>
        <w:t>a stávajících inženýrských sítí;</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FD3F94" w:rsidRPr="00FA0589">
        <w:rPr>
          <w:rFonts w:ascii="Times New Roman" w:hAnsi="Times New Roman"/>
          <w:sz w:val="22"/>
        </w:rPr>
        <w:t>ybudování, provoz a odstranění z</w:t>
      </w:r>
      <w:r w:rsidR="002C0CF7" w:rsidRPr="00FA0589">
        <w:rPr>
          <w:rFonts w:ascii="Times New Roman" w:hAnsi="Times New Roman"/>
          <w:sz w:val="22"/>
        </w:rPr>
        <w:t>ařízení staveniště</w:t>
      </w:r>
      <w:r w:rsidR="00AF5316" w:rsidRPr="00FA0589">
        <w:rPr>
          <w:rFonts w:ascii="Times New Roman" w:hAnsi="Times New Roman"/>
          <w:sz w:val="22"/>
        </w:rPr>
        <w:t>;</w:t>
      </w:r>
    </w:p>
    <w:p w:rsidR="00284F75" w:rsidRPr="00FA0589" w:rsidRDefault="00284F7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 xml:space="preserve">provozní </w:t>
      </w:r>
      <w:r w:rsidR="003C0AFA" w:rsidRPr="00FA0589">
        <w:rPr>
          <w:rFonts w:ascii="Times New Roman" w:hAnsi="Times New Roman"/>
          <w:sz w:val="22"/>
        </w:rPr>
        <w:t xml:space="preserve">a manipulační </w:t>
      </w:r>
      <w:r w:rsidRPr="00FA0589">
        <w:rPr>
          <w:rFonts w:ascii="Times New Roman" w:hAnsi="Times New Roman"/>
          <w:sz w:val="22"/>
        </w:rPr>
        <w:t>řád stavby, vč. zaškolení obsluhy;</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z</w:t>
      </w:r>
      <w:r w:rsidR="002C0CF7" w:rsidRPr="00FA0589">
        <w:rPr>
          <w:rFonts w:ascii="Times New Roman" w:hAnsi="Times New Roman"/>
          <w:sz w:val="22"/>
        </w:rPr>
        <w:t>ajištění veške</w:t>
      </w:r>
      <w:r w:rsidR="008B39D5" w:rsidRPr="00FA0589">
        <w:rPr>
          <w:rFonts w:ascii="Times New Roman" w:hAnsi="Times New Roman"/>
          <w:sz w:val="22"/>
        </w:rPr>
        <w:t>rých dokladů nutných k předání d</w:t>
      </w:r>
      <w:r w:rsidR="002C0CF7" w:rsidRPr="00FA0589">
        <w:rPr>
          <w:rFonts w:ascii="Times New Roman" w:hAnsi="Times New Roman"/>
          <w:sz w:val="22"/>
        </w:rPr>
        <w:t>íla a požadovaných zákony a předpisy, předepsaných zkoušek, revizí, atestů materiálů a výrobků, prohláš</w:t>
      </w:r>
      <w:r w:rsidRPr="00FA0589">
        <w:rPr>
          <w:rFonts w:ascii="Times New Roman" w:hAnsi="Times New Roman"/>
          <w:sz w:val="22"/>
        </w:rPr>
        <w:t>ení</w:t>
      </w:r>
      <w:r w:rsidR="00AF5316" w:rsidRPr="00FA0589">
        <w:rPr>
          <w:rFonts w:ascii="Times New Roman" w:hAnsi="Times New Roman"/>
          <w:sz w:val="22"/>
        </w:rPr>
        <w:t xml:space="preserve"> o shodách;</w:t>
      </w:r>
    </w:p>
    <w:p w:rsidR="006409F2"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w:t>
      </w:r>
      <w:r w:rsidR="002C0CF7" w:rsidRPr="00FA0589">
        <w:rPr>
          <w:rFonts w:ascii="Times New Roman" w:hAnsi="Times New Roman"/>
          <w:sz w:val="22"/>
        </w:rPr>
        <w:t>okumentace skutečného provedení stavby, vč. geodetického zaměření (3x</w:t>
      </w:r>
      <w:r w:rsidRPr="00FA0589">
        <w:rPr>
          <w:rFonts w:ascii="Times New Roman" w:hAnsi="Times New Roman"/>
          <w:sz w:val="22"/>
        </w:rPr>
        <w:t xml:space="preserve"> v listinné a </w:t>
      </w:r>
      <w:r w:rsidR="00413332" w:rsidRPr="00FA0589">
        <w:rPr>
          <w:rFonts w:ascii="Times New Roman" w:hAnsi="Times New Roman"/>
          <w:sz w:val="22"/>
        </w:rPr>
        <w:t>2</w:t>
      </w:r>
      <w:r w:rsidR="002C0CF7" w:rsidRPr="00FA0589">
        <w:rPr>
          <w:rFonts w:ascii="Times New Roman" w:hAnsi="Times New Roman"/>
          <w:sz w:val="22"/>
        </w:rPr>
        <w:t>x v digitální podobě</w:t>
      </w:r>
      <w:r w:rsidRPr="00FA0589">
        <w:rPr>
          <w:rFonts w:ascii="Times New Roman" w:hAnsi="Times New Roman"/>
          <w:sz w:val="22"/>
        </w:rPr>
        <w:t>, p</w:t>
      </w:r>
      <w:r w:rsidR="002C0CF7" w:rsidRPr="00FA0589">
        <w:rPr>
          <w:rFonts w:ascii="Times New Roman" w:hAnsi="Times New Roman"/>
          <w:sz w:val="22"/>
        </w:rPr>
        <w:t>oloha nově zřízených a odkrytých stávajících podzemních inženýrských sítí, musí být zaměřena před jejich zakrytím</w:t>
      </w:r>
      <w:r w:rsidR="00F62D57" w:rsidRPr="00FA0589">
        <w:rPr>
          <w:rFonts w:ascii="Times New Roman" w:hAnsi="Times New Roman"/>
          <w:sz w:val="22"/>
        </w:rPr>
        <w:t>)</w:t>
      </w:r>
      <w:r w:rsidR="006409F2" w:rsidRPr="00FA0589">
        <w:rPr>
          <w:rFonts w:ascii="Times New Roman" w:hAnsi="Times New Roman"/>
          <w:sz w:val="22"/>
        </w:rPr>
        <w:t>;</w:t>
      </w:r>
    </w:p>
    <w:p w:rsidR="00B61A39" w:rsidRPr="00FA0589" w:rsidRDefault="006409F2"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další práce a činnosti v souladu s výkazem výměr</w:t>
      </w:r>
      <w:r w:rsidR="00623197" w:rsidRPr="00FA0589">
        <w:rPr>
          <w:rFonts w:ascii="Times New Roman" w:hAnsi="Times New Roman"/>
          <w:sz w:val="22"/>
        </w:rPr>
        <w:t>.</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92054F" w:rsidRP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zahájení</w:t>
      </w:r>
      <w:r w:rsidRPr="0092054F">
        <w:rPr>
          <w:rFonts w:ascii="Times New Roman" w:hAnsi="Times New Roman"/>
          <w:sz w:val="22"/>
        </w:rPr>
        <w:t>:</w:t>
      </w:r>
      <w:r w:rsidRPr="0092054F">
        <w:rPr>
          <w:rFonts w:ascii="Times New Roman" w:hAnsi="Times New Roman"/>
          <w:sz w:val="22"/>
        </w:rPr>
        <w:tab/>
      </w:r>
      <w:r>
        <w:rPr>
          <w:rFonts w:ascii="Times New Roman" w:hAnsi="Times New Roman"/>
          <w:sz w:val="22"/>
        </w:rPr>
        <w:tab/>
      </w:r>
      <w:proofErr w:type="gramStart"/>
      <w:r w:rsidRPr="0092054F">
        <w:rPr>
          <w:rFonts w:ascii="Times New Roman" w:hAnsi="Times New Roman"/>
          <w:b/>
          <w:sz w:val="22"/>
        </w:rPr>
        <w:t>10.7.2017</w:t>
      </w:r>
      <w:proofErr w:type="gramEnd"/>
    </w:p>
    <w:p w:rsid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w:t>
      </w:r>
      <w:bookmarkStart w:id="0" w:name="_GoBack"/>
      <w:bookmarkEnd w:id="0"/>
      <w:r>
        <w:rPr>
          <w:rFonts w:ascii="Times New Roman" w:hAnsi="Times New Roman"/>
          <w:sz w:val="22"/>
        </w:rPr>
        <w:t>rmín ukončení</w:t>
      </w:r>
      <w:r w:rsidRPr="0092054F">
        <w:rPr>
          <w:rFonts w:ascii="Times New Roman" w:hAnsi="Times New Roman"/>
          <w:sz w:val="22"/>
        </w:rPr>
        <w:t xml:space="preserve">: </w:t>
      </w:r>
      <w:r w:rsidRPr="0092054F">
        <w:rPr>
          <w:rFonts w:ascii="Times New Roman" w:hAnsi="Times New Roman"/>
          <w:sz w:val="22"/>
        </w:rPr>
        <w:tab/>
      </w:r>
      <w:r w:rsidRPr="00187397">
        <w:rPr>
          <w:rFonts w:ascii="Times New Roman" w:hAnsi="Times New Roman"/>
          <w:b/>
          <w:sz w:val="22"/>
        </w:rPr>
        <w:t xml:space="preserve">nejpozději do </w:t>
      </w:r>
      <w:proofErr w:type="gramStart"/>
      <w:r w:rsidRPr="00187397">
        <w:rPr>
          <w:rFonts w:ascii="Times New Roman" w:hAnsi="Times New Roman"/>
          <w:b/>
          <w:sz w:val="22"/>
        </w:rPr>
        <w:t>29.9.2017</w:t>
      </w:r>
      <w:proofErr w:type="gramEnd"/>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7D186D" w:rsidRDefault="007D186D" w:rsidP="009B33E6">
      <w:pPr>
        <w:pStyle w:val="Zkladntext"/>
        <w:tabs>
          <w:tab w:val="left" w:pos="2268"/>
        </w:tabs>
        <w:spacing w:before="480"/>
        <w:jc w:val="center"/>
        <w:rPr>
          <w:rFonts w:ascii="Times New Roman" w:hAnsi="Times New Roman"/>
          <w:b/>
          <w:sz w:val="28"/>
        </w:rPr>
      </w:pP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tblInd w:w="637"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tblPr>
      <w:tblGrid>
        <w:gridCol w:w="4820"/>
        <w:gridCol w:w="2977"/>
      </w:tblGrid>
      <w:tr w:rsidR="00E9565D" w:rsidRPr="00FA0589" w:rsidTr="00E9565D">
        <w:trPr>
          <w:cantSplit/>
          <w:trHeight w:val="60"/>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tcPr>
          <w:p w:rsidR="009D2F68" w:rsidRPr="00FA0589" w:rsidRDefault="00E9565D" w:rsidP="00742EA1">
            <w:pPr>
              <w:pStyle w:val="Nadpis5"/>
              <w:jc w:val="left"/>
              <w:rPr>
                <w:sz w:val="32"/>
              </w:rPr>
            </w:pPr>
            <w:r w:rsidRPr="00FA0589">
              <w:rPr>
                <w:sz w:val="22"/>
              </w:rPr>
              <w:t xml:space="preserve">Název akce: </w:t>
            </w:r>
            <w:r w:rsidR="009F3B96" w:rsidRPr="009F3B96">
              <w:rPr>
                <w:i w:val="0"/>
                <w:sz w:val="22"/>
              </w:rPr>
              <w:t>Oprava a čištění požární nádrže Bečov</w:t>
            </w:r>
          </w:p>
        </w:tc>
      </w:tr>
      <w:tr w:rsidR="00E9565D" w:rsidRPr="00FA0589" w:rsidTr="00E9565D">
        <w:trPr>
          <w:trHeight w:val="54"/>
        </w:trPr>
        <w:tc>
          <w:tcPr>
            <w:tcW w:w="4820" w:type="dxa"/>
            <w:tcBorders>
              <w:top w:val="single" w:sz="12" w:space="0" w:color="008080"/>
              <w:left w:val="single" w:sz="12" w:space="0" w:color="008080"/>
              <w:bottom w:val="single" w:sz="12" w:space="0" w:color="008080"/>
            </w:tcBorders>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tcPr>
          <w:p w:rsidR="00E9565D" w:rsidRPr="00FA0589" w:rsidRDefault="00E9565D" w:rsidP="00E9565D">
            <w:pPr>
              <w:jc w:val="right"/>
              <w:rPr>
                <w:snapToGrid w:val="0"/>
                <w:color w:val="000000"/>
                <w:sz w:val="6"/>
                <w:szCs w:val="4"/>
              </w:rPr>
            </w:pPr>
          </w:p>
        </w:tc>
      </w:tr>
      <w:tr w:rsidR="00E9565D" w:rsidRPr="00FA0589" w:rsidTr="00742EA1">
        <w:trPr>
          <w:trHeight w:val="305"/>
        </w:trPr>
        <w:tc>
          <w:tcPr>
            <w:tcW w:w="4820" w:type="dxa"/>
            <w:tcBorders>
              <w:top w:val="single" w:sz="12" w:space="0" w:color="008080"/>
              <w:left w:val="single" w:sz="12" w:space="0" w:color="008080"/>
              <w:bottom w:val="single" w:sz="12" w:space="0" w:color="008080"/>
            </w:tcBorders>
            <w:shd w:val="clear" w:color="auto" w:fill="auto"/>
            <w:vAlign w:val="bottom"/>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bottom"/>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742EA1">
        <w:trPr>
          <w:trHeight w:val="252"/>
        </w:trPr>
        <w:tc>
          <w:tcPr>
            <w:tcW w:w="4820" w:type="dxa"/>
            <w:tcBorders>
              <w:top w:val="nil"/>
              <w:left w:val="single" w:sz="12" w:space="0" w:color="008080"/>
              <w:bottom w:val="single" w:sz="12" w:space="0" w:color="008080"/>
            </w:tcBorders>
            <w:shd w:val="clear" w:color="auto" w:fill="auto"/>
            <w:vAlign w:val="bottom"/>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bottom"/>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742EA1">
        <w:trPr>
          <w:trHeight w:val="385"/>
        </w:trPr>
        <w:tc>
          <w:tcPr>
            <w:tcW w:w="4820" w:type="dxa"/>
            <w:tcBorders>
              <w:top w:val="single" w:sz="12" w:space="0" w:color="008080"/>
              <w:left w:val="single" w:sz="12" w:space="0" w:color="008080"/>
              <w:bottom w:val="single" w:sz="12" w:space="0" w:color="008080"/>
            </w:tcBorders>
            <w:shd w:val="clear" w:color="auto" w:fill="auto"/>
            <w:vAlign w:val="bottom"/>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bottom"/>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související s plněním podmínek zadávací dokumentace.</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w:t>
      </w:r>
      <w:r w:rsidR="009240E7" w:rsidRPr="00FA0589">
        <w:rPr>
          <w:rFonts w:ascii="Times New Roman" w:hAnsi="Times New Roman"/>
          <w:sz w:val="22"/>
        </w:rPr>
        <w:t>se zavazuje k financování d</w:t>
      </w:r>
      <w:r w:rsidR="008B39D5" w:rsidRPr="00FA0589">
        <w:rPr>
          <w:rFonts w:ascii="Times New Roman" w:hAnsi="Times New Roman"/>
          <w:sz w:val="22"/>
        </w:rPr>
        <w:t>íla</w:t>
      </w:r>
      <w:r w:rsidRPr="00FA0589">
        <w:rPr>
          <w:rFonts w:ascii="Times New Roman" w:hAnsi="Times New Roman"/>
          <w:sz w:val="22"/>
        </w:rPr>
        <w:t xml:space="preserve"> za podmínek a ve lhůtách dále uvedených.</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Provedené práce budou zhotovitelem fakturovány měsíčně na základě soupisu skutečně provedených prací vystaveného zhotovitelem s uvedením položek, jednotkových cen a celkem cen za položku dle přílohy</w:t>
      </w:r>
      <w:r w:rsidR="00AA0F91" w:rsidRPr="00FA0589">
        <w:rPr>
          <w:rFonts w:ascii="Times New Roman" w:hAnsi="Times New Roman"/>
          <w:sz w:val="22"/>
        </w:rPr>
        <w:t xml:space="preserve"> </w:t>
      </w:r>
      <w:r w:rsidR="00F6055D" w:rsidRPr="00FA0589">
        <w:rPr>
          <w:rFonts w:ascii="Times New Roman" w:hAnsi="Times New Roman"/>
          <w:b/>
          <w:i/>
          <w:sz w:val="22"/>
        </w:rPr>
        <w:t>a)</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28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ve výši 10% ceny 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 xml:space="preserve">náležitosti podle § 28 odst.2.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lastRenderedPageBreak/>
        <w:t>Každý daňový doklad (faktura) musí mimo jiné obsahovat:</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přesný název předmětu díla, resp. jeho placené části dle soupisu skutečně provedených prací;</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celkovou cenu díla bez DPH, resp. celkovou cenu bez DPH placené části díla dle soupisu skutečně provedených prací;</w:t>
      </w:r>
    </w:p>
    <w:p w:rsidR="00901C5B" w:rsidRPr="00FA0589" w:rsidRDefault="00901C5B" w:rsidP="00901C5B">
      <w:pPr>
        <w:pStyle w:val="Zkladntext"/>
        <w:tabs>
          <w:tab w:val="left" w:pos="2268"/>
        </w:tabs>
        <w:spacing w:before="60"/>
        <w:rPr>
          <w:rFonts w:ascii="Times New Roman" w:hAnsi="Times New Roman"/>
          <w:sz w:val="22"/>
        </w:rPr>
      </w:pPr>
      <w:r w:rsidRPr="00FA0589">
        <w:rPr>
          <w:rFonts w:ascii="Times New Roman" w:hAnsi="Times New Roman"/>
          <w:sz w:val="22"/>
        </w:rPr>
        <w:t>- celkovou cenu díla včetně DPH, resp. celkovou cenu včetně DPH placené části díla dle soupisu skutečně provedených prací.</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subdodavatelů,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Nejpozději do 30 dnů po ukončení realizace díla je zhotovitel povinen předat objednateli finálovou podobu seznamu subdodavatelů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že zakázku nepostoupí jinému zhotoviteli a ani nezmění další zhotovitele – subdodavatele – uvedené v nabídce. Porušení tohoto pravidla může být důvodem pro odstoupení objednatele od smlouvy. Veškeré náklady spojené s případnou změnou subdodavatelů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BD0054" w:rsidRPr="00FA0589">
        <w:rPr>
          <w:rFonts w:ascii="Times New Roman" w:hAnsi="Times New Roman"/>
          <w:sz w:val="22"/>
        </w:rPr>
        <w:t>zemědělství</w:t>
      </w:r>
      <w:r w:rsidR="00AE665F" w:rsidRPr="00FA0589">
        <w:rPr>
          <w:rFonts w:ascii="Times New Roman" w:hAnsi="Times New Roman"/>
          <w:sz w:val="22"/>
        </w:rPr>
        <w:t xml:space="preserve"> ČR</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lastRenderedPageBreak/>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dobu 10-ti let od vydání pravomocného kolaudačního souhlasu.</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790483" w:rsidRPr="00FA0589" w:rsidRDefault="000F4FDD" w:rsidP="00FC2EB0">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790483" w:rsidRPr="00FA0589">
        <w:rPr>
          <w:rFonts w:ascii="Times New Roman" w:hAnsi="Times New Roman"/>
          <w:sz w:val="22"/>
        </w:rPr>
        <w:t xml:space="preserve"> pro provedení stavby</w:t>
      </w:r>
      <w:r w:rsidR="005A6650" w:rsidRPr="00FA0589">
        <w:rPr>
          <w:rFonts w:ascii="Times New Roman" w:hAnsi="Times New Roman"/>
          <w:sz w:val="22"/>
        </w:rPr>
        <w:t>.</w:t>
      </w:r>
    </w:p>
    <w:p w:rsidR="00A74462" w:rsidRPr="00FA0589" w:rsidRDefault="00A74462"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projektovou dokument</w:t>
      </w:r>
      <w:r w:rsidR="00BD0308" w:rsidRPr="00FA0589">
        <w:rPr>
          <w:rFonts w:ascii="Times New Roman" w:hAnsi="Times New Roman"/>
          <w:sz w:val="22"/>
        </w:rPr>
        <w:t>aci skutečného provedení 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3476E"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Prodleva při předání staveniště ze strany objednatele má automati</w:t>
      </w:r>
      <w:r w:rsidR="00A74462" w:rsidRPr="00FA0589">
        <w:rPr>
          <w:rFonts w:ascii="Times New Roman" w:hAnsi="Times New Roman"/>
          <w:sz w:val="22"/>
        </w:rPr>
        <w:t>cky vliv na termín plnění díla.</w:t>
      </w: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má povinnost umožnit výkon technického dozoru stavebníka,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Dílo nebo jeho část vykazující nesoulad se zadávací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Stálému odbornému dozoru objednatele je stavbyvedoucí povinen předložit denní záznamy nejpozději následující pracovní den a odevzdat mu první průpis. Jestliže objednatel nesouhlasí s obsahem 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F17FBD" w:rsidRPr="00FA0589">
        <w:rPr>
          <w:rFonts w:ascii="Times New Roman" w:hAnsi="Times New Roman"/>
          <w:sz w:val="22"/>
        </w:rPr>
        <w:t>zadávací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Objednatel je povinen na předání a převzetí díla přizvat osoby vykonávající funkci technického dozoru stavebníka.</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447614" w:rsidRPr="00FA0589" w:rsidRDefault="00447614"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3C0AFA" w:rsidRPr="00FA0589" w:rsidRDefault="003C0AFA"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provozní a manipulační řád stavby;</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Zákonu č.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FC5C03">
      <w:pPr>
        <w:numPr>
          <w:ilvl w:val="0"/>
          <w:numId w:val="1"/>
        </w:numPr>
        <w:tabs>
          <w:tab w:val="left" w:pos="840"/>
          <w:tab w:val="left" w:pos="2280"/>
        </w:tabs>
        <w:spacing w:beforeLines="5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FB3714">
        <w:rPr>
          <w:rFonts w:ascii="Times New Roman" w:hAnsi="Times New Roman"/>
          <w:color w:val="000000"/>
          <w:sz w:val="22"/>
        </w:rPr>
        <w:t>1</w:t>
      </w:r>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B793C" w:rsidRPr="00FA0589">
        <w:rPr>
          <w:rFonts w:ascii="Times New Roman" w:hAnsi="Times New Roman"/>
          <w:sz w:val="22"/>
        </w:rPr>
        <w:t>soupis stavebních prací, dodávek a služeb s výkazem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E273E8">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273E8">
              <w:rPr>
                <w:sz w:val="22"/>
              </w:rPr>
              <w:t xml:space="preserve">             Iveta Rabasová Houfová</w:t>
            </w:r>
          </w:p>
          <w:p w:rsidR="001A59C2" w:rsidRPr="00FA0589" w:rsidRDefault="001A59C2" w:rsidP="001A59C2">
            <w:pPr>
              <w:tabs>
                <w:tab w:val="left" w:pos="0"/>
              </w:tabs>
              <w:rPr>
                <w:sz w:val="22"/>
              </w:rPr>
            </w:pPr>
            <w:r w:rsidRPr="00FA0589">
              <w:rPr>
                <w:sz w:val="22"/>
              </w:rPr>
              <w:t xml:space="preserve">   </w:t>
            </w:r>
            <w:r w:rsidR="00E273E8">
              <w:rPr>
                <w:sz w:val="22"/>
              </w:rPr>
              <w:t xml:space="preserve">                </w:t>
            </w:r>
            <w:r w:rsidR="00C03D3F" w:rsidRPr="00FA0589">
              <w:rPr>
                <w:sz w:val="22"/>
              </w:rPr>
              <w:t xml:space="preserve"> </w:t>
            </w:r>
            <w:r w:rsidRPr="00FA0589">
              <w:rPr>
                <w:sz w:val="22"/>
              </w:rPr>
              <w:t>starost</w:t>
            </w:r>
            <w:r w:rsidR="00E273E8">
              <w:rPr>
                <w:sz w:val="22"/>
              </w:rPr>
              <w:t>k</w:t>
            </w:r>
            <w:r w:rsidRPr="00FA0589">
              <w:rPr>
                <w:sz w:val="22"/>
              </w:rPr>
              <w:t xml:space="preserve">a </w:t>
            </w:r>
            <w:r w:rsidR="00E273E8">
              <w:rPr>
                <w:sz w:val="22"/>
              </w:rPr>
              <w:t>obce 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10"/>
      <w:footerReference w:type="default" r:id="rId11"/>
      <w:headerReference w:type="first" r:id="rId12"/>
      <w:footerReference w:type="first" r:id="rId13"/>
      <w:type w:val="continuous"/>
      <w:pgSz w:w="11906" w:h="16838"/>
      <w:pgMar w:top="1418" w:right="1134" w:bottom="993" w:left="1418" w:header="704" w:footer="6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7D186D">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7D186D">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7D186D">
      <w:rPr>
        <w:rFonts w:ascii="Verdana" w:hAnsi="Verdana"/>
        <w:noProof/>
        <w:color w:val="7F7F7F" w:themeColor="text1" w:themeTint="80"/>
        <w:sz w:val="16"/>
      </w:rPr>
      <w:t>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7D186D">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7D" w:rsidRPr="00C8377D" w:rsidRDefault="00FC5C03" w:rsidP="00742EA1">
    <w:pPr>
      <w:pStyle w:val="Zkladntext"/>
      <w:tabs>
        <w:tab w:val="left" w:pos="2268"/>
      </w:tabs>
      <w:spacing w:before="120" w:after="60"/>
      <w:jc w:val="left"/>
      <w:rPr>
        <w:rFonts w:ascii="Verdana" w:hAnsi="Verdana"/>
        <w:color w:val="7F7F7F" w:themeColor="text1" w:themeTint="80"/>
        <w:sz w:val="20"/>
      </w:rPr>
    </w:pPr>
    <w:r w:rsidRPr="00FC5C03">
      <w:rPr>
        <w:rFonts w:ascii="Verdana" w:hAnsi="Verdana"/>
        <w:noProof/>
        <w:color w:val="7F7F7F" w:themeColor="text1" w:themeTint="80"/>
      </w:rPr>
      <w:pict>
        <v:line id="Line 1" o:spid="_x0000_s1229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" o:allowincell="f" strokeweight=".5pt"/>
      </w:pict>
    </w:r>
    <w:proofErr w:type="spellStart"/>
    <w:r w:rsidR="00977C6F" w:rsidRPr="00FC5DD2">
      <w:rPr>
        <w:rFonts w:ascii="Verdana" w:hAnsi="Verdana"/>
        <w:color w:val="7F7F7F" w:themeColor="text1" w:themeTint="80"/>
        <w:sz w:val="20"/>
      </w:rPr>
      <w:t>SoD</w:t>
    </w:r>
    <w:proofErr w:type="spellEnd"/>
    <w:r w:rsidR="00977C6F" w:rsidRPr="00FC5DD2">
      <w:rPr>
        <w:rFonts w:ascii="Verdana" w:hAnsi="Verdana"/>
        <w:color w:val="7F7F7F" w:themeColor="text1" w:themeTint="80"/>
        <w:sz w:val="20"/>
      </w:rPr>
      <w:t xml:space="preserve"> „</w:t>
    </w:r>
    <w:r w:rsidR="00FB3714" w:rsidRPr="00FB3714">
      <w:rPr>
        <w:rFonts w:ascii="Verdana" w:hAnsi="Verdana"/>
        <w:color w:val="7F7F7F" w:themeColor="text1" w:themeTint="80"/>
        <w:sz w:val="20"/>
      </w:rPr>
      <w:t xml:space="preserve">Oprava a čištění požární nádrže </w:t>
    </w:r>
    <w:proofErr w:type="gramStart"/>
    <w:r w:rsidR="00FB3714" w:rsidRPr="00FB3714">
      <w:rPr>
        <w:rFonts w:ascii="Verdana" w:hAnsi="Verdana"/>
        <w:color w:val="7F7F7F" w:themeColor="text1" w:themeTint="80"/>
        <w:sz w:val="20"/>
      </w:rPr>
      <w:t>Bečov</w:t>
    </w:r>
    <w:r w:rsidR="00FB3714">
      <w:rPr>
        <w:rFonts w:ascii="Verdana" w:hAnsi="Verdana"/>
        <w:color w:val="7F7F7F" w:themeColor="text1" w:themeTint="80"/>
        <w:sz w:val="20"/>
      </w:rPr>
      <w:t xml:space="preserve">“                                      </w:t>
    </w:r>
    <w:r w:rsidR="00742EA1">
      <w:rPr>
        <w:rFonts w:ascii="Verdana" w:hAnsi="Verdana"/>
        <w:color w:val="7F7F7F" w:themeColor="text1" w:themeTint="80"/>
        <w:sz w:val="20"/>
      </w:rPr>
      <w:t xml:space="preserve">         </w:t>
    </w:r>
    <w:r w:rsidR="00C8377D">
      <w:rPr>
        <w:rFonts w:ascii="Verdana" w:hAnsi="Verdana"/>
        <w:color w:val="7F7F7F" w:themeColor="text1" w:themeTint="80"/>
        <w:sz w:val="20"/>
      </w:rPr>
      <w:t xml:space="preserve">     Příloha</w:t>
    </w:r>
    <w:proofErr w:type="gramEnd"/>
    <w:r w:rsidR="00C8377D">
      <w:rPr>
        <w:rFonts w:ascii="Verdana" w:hAnsi="Verdana"/>
        <w:color w:val="7F7F7F" w:themeColor="text1" w:themeTint="80"/>
        <w:sz w:val="20"/>
      </w:rPr>
      <w:t xml:space="preserve"> č. 4           </w:t>
    </w:r>
  </w:p>
  <w:p w:rsidR="00977C6F" w:rsidRPr="002F3F93" w:rsidRDefault="00977C6F" w:rsidP="00C8377D">
    <w:pPr>
      <w:pStyle w:val="Zkladntext"/>
      <w:tabs>
        <w:tab w:val="left" w:pos="2268"/>
      </w:tabs>
      <w:spacing w:before="120" w:after="60"/>
      <w:ind w:left="2262" w:hanging="2262"/>
      <w:jc w:val="center"/>
      <w:rPr>
        <w:rFonts w:ascii="Verdana" w:hAnsi="Verdana"/>
        <w:color w:val="7F7F7F" w:themeColor="text1" w:themeTint="80"/>
      </w:rPr>
    </w:pPr>
    <w:r>
      <w:rPr>
        <w:rFonts w:ascii="Verdana" w:hAnsi="Verdana"/>
        <w:color w:val="7F7F7F" w:themeColor="text1" w:themeTint="80"/>
        <w:sz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1C" w:rsidRPr="00C8377D" w:rsidRDefault="00FC5C03" w:rsidP="0012151C">
    <w:pPr>
      <w:pStyle w:val="Zkladntext"/>
      <w:tabs>
        <w:tab w:val="left" w:pos="2268"/>
      </w:tabs>
      <w:spacing w:before="120" w:after="60"/>
      <w:jc w:val="left"/>
      <w:rPr>
        <w:rFonts w:ascii="Verdana" w:hAnsi="Verdana"/>
        <w:color w:val="7F7F7F" w:themeColor="text1" w:themeTint="80"/>
        <w:sz w:val="20"/>
      </w:rPr>
    </w:pPr>
    <w:r w:rsidRPr="00FC5C03">
      <w:rPr>
        <w:rFonts w:ascii="Verdana" w:hAnsi="Verdana"/>
        <w:noProof/>
        <w:color w:val="7F7F7F" w:themeColor="text1" w:themeTint="80"/>
      </w:rPr>
      <w:pict>
        <v:line id="_x0000_s1228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FB3714" w:rsidRPr="00FB3714">
      <w:rPr>
        <w:rFonts w:ascii="Verdana" w:hAnsi="Verdana"/>
        <w:color w:val="7F7F7F" w:themeColor="text1" w:themeTint="80"/>
        <w:sz w:val="20"/>
      </w:rPr>
      <w:t xml:space="preserve">Oprava a čištění požární nádrže </w:t>
    </w:r>
    <w:proofErr w:type="gramStart"/>
    <w:r w:rsidR="00FB3714" w:rsidRPr="00FB3714">
      <w:rPr>
        <w:rFonts w:ascii="Verdana" w:hAnsi="Verdana"/>
        <w:color w:val="7F7F7F" w:themeColor="text1" w:themeTint="80"/>
        <w:sz w:val="20"/>
      </w:rPr>
      <w:t>Bečov</w:t>
    </w:r>
    <w:r w:rsidR="00FB3714">
      <w:rPr>
        <w:rFonts w:ascii="Verdana" w:hAnsi="Verdana"/>
        <w:color w:val="7F7F7F" w:themeColor="text1" w:themeTint="80"/>
        <w:sz w:val="20"/>
      </w:rPr>
      <w:t xml:space="preserve">“                                      </w:t>
    </w:r>
    <w:r w:rsidR="0012151C">
      <w:rPr>
        <w:rFonts w:ascii="Verdana" w:hAnsi="Verdana"/>
        <w:color w:val="7F7F7F" w:themeColor="text1" w:themeTint="80"/>
        <w:sz w:val="20"/>
      </w:rPr>
      <w:t xml:space="preserve">              Příloha</w:t>
    </w:r>
    <w:proofErr w:type="gramEnd"/>
    <w:r w:rsidR="0012151C">
      <w:rPr>
        <w:rFonts w:ascii="Verdana" w:hAnsi="Verdana"/>
        <w:color w:val="7F7F7F" w:themeColor="text1" w:themeTint="80"/>
        <w:sz w:val="20"/>
      </w:rPr>
      <w:t xml:space="preserve"> č. 4           </w:t>
    </w:r>
  </w:p>
  <w:p w:rsidR="0012151C" w:rsidRDefault="001215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347F9"/>
    <w:multiLevelType w:val="singleLevel"/>
    <w:tmpl w:val="E6726672"/>
    <w:lvl w:ilvl="0">
      <w:start w:val="1"/>
      <w:numFmt w:val="decimal"/>
      <w:lvlText w:val="11.%1."/>
      <w:lvlJc w:val="left"/>
      <w:pPr>
        <w:tabs>
          <w:tab w:val="num" w:pos="720"/>
        </w:tabs>
        <w:ind w:left="0" w:firstLine="0"/>
      </w:pPr>
    </w:lvl>
  </w:abstractNum>
  <w:abstractNum w:abstractNumId="5">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B3AEB"/>
    <w:multiLevelType w:val="hybridMultilevel"/>
    <w:tmpl w:val="868E8066"/>
    <w:lvl w:ilvl="0" w:tplc="F1E2F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F16DF2"/>
    <w:multiLevelType w:val="singleLevel"/>
    <w:tmpl w:val="6B506324"/>
    <w:lvl w:ilvl="0">
      <w:start w:val="1"/>
      <w:numFmt w:val="decimal"/>
      <w:lvlText w:val="8.%1."/>
      <w:lvlJc w:val="left"/>
      <w:pPr>
        <w:tabs>
          <w:tab w:val="num" w:pos="720"/>
        </w:tabs>
        <w:ind w:left="0" w:firstLine="0"/>
      </w:pPr>
    </w:lvl>
  </w:abstractNum>
  <w:abstractNum w:abstractNumId="22">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F3C8D"/>
    <w:multiLevelType w:val="multilevel"/>
    <w:tmpl w:val="4F9ED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21"/>
  </w:num>
  <w:num w:numId="6">
    <w:abstractNumId w:val="4"/>
    <w:lvlOverride w:ilvl="0">
      <w:startOverride w:val="1"/>
    </w:lvlOverride>
  </w:num>
  <w:num w:numId="7">
    <w:abstractNumId w:val="9"/>
  </w:num>
  <w:num w:numId="8">
    <w:abstractNumId w:val="2"/>
  </w:num>
  <w:num w:numId="9">
    <w:abstractNumId w:val="27"/>
  </w:num>
  <w:num w:numId="10">
    <w:abstractNumId w:val="10"/>
  </w:num>
  <w:num w:numId="11">
    <w:abstractNumId w:val="17"/>
  </w:num>
  <w:num w:numId="12">
    <w:abstractNumId w:val="19"/>
  </w:num>
  <w:num w:numId="13">
    <w:abstractNumId w:val="5"/>
  </w:num>
  <w:num w:numId="14">
    <w:abstractNumId w:val="16"/>
  </w:num>
  <w:num w:numId="15">
    <w:abstractNumId w:val="8"/>
  </w:num>
  <w:num w:numId="16">
    <w:abstractNumId w:val="18"/>
  </w:num>
  <w:num w:numId="17">
    <w:abstractNumId w:val="15"/>
  </w:num>
  <w:num w:numId="18">
    <w:abstractNumId w:val="6"/>
  </w:num>
  <w:num w:numId="19">
    <w:abstractNumId w:val="25"/>
  </w:num>
  <w:num w:numId="20">
    <w:abstractNumId w:val="24"/>
  </w:num>
  <w:num w:numId="21">
    <w:abstractNumId w:val="26"/>
  </w:num>
  <w:num w:numId="22">
    <w:abstractNumId w:val="28"/>
  </w:num>
  <w:num w:numId="23">
    <w:abstractNumId w:val="12"/>
  </w:num>
  <w:num w:numId="24">
    <w:abstractNumId w:val="13"/>
  </w:num>
  <w:num w:numId="25">
    <w:abstractNumId w:val="3"/>
  </w:num>
  <w:num w:numId="26">
    <w:abstractNumId w:val="22"/>
  </w:num>
  <w:num w:numId="27">
    <w:abstractNumId w:val="11"/>
  </w:num>
  <w:num w:numId="28">
    <w:abstractNumId w:val="29"/>
  </w:num>
  <w:num w:numId="29">
    <w:abstractNumId w:val="7"/>
  </w:num>
  <w:num w:numId="30">
    <w:abstractNumId w:val="20"/>
  </w:num>
  <w:num w:numId="31">
    <w:abstractNumId w:val="23"/>
  </w:num>
  <w:num w:numId="32">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C27"/>
    <w:rsid w:val="00105ED5"/>
    <w:rsid w:val="00107975"/>
    <w:rsid w:val="00120159"/>
    <w:rsid w:val="0012151C"/>
    <w:rsid w:val="00131667"/>
    <w:rsid w:val="001540DC"/>
    <w:rsid w:val="00161ABE"/>
    <w:rsid w:val="00171614"/>
    <w:rsid w:val="0017474E"/>
    <w:rsid w:val="00176085"/>
    <w:rsid w:val="00177604"/>
    <w:rsid w:val="00184CD6"/>
    <w:rsid w:val="00187397"/>
    <w:rsid w:val="001874FC"/>
    <w:rsid w:val="00190142"/>
    <w:rsid w:val="00195C37"/>
    <w:rsid w:val="001A469C"/>
    <w:rsid w:val="001A59C2"/>
    <w:rsid w:val="001A7D52"/>
    <w:rsid w:val="001A7D73"/>
    <w:rsid w:val="001B7AE1"/>
    <w:rsid w:val="001C1D93"/>
    <w:rsid w:val="001C1E58"/>
    <w:rsid w:val="001C29A9"/>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444F4"/>
    <w:rsid w:val="00344865"/>
    <w:rsid w:val="003575F1"/>
    <w:rsid w:val="00360319"/>
    <w:rsid w:val="00360AEC"/>
    <w:rsid w:val="003632E1"/>
    <w:rsid w:val="00364BE6"/>
    <w:rsid w:val="00367178"/>
    <w:rsid w:val="00373B53"/>
    <w:rsid w:val="00373CD7"/>
    <w:rsid w:val="00396630"/>
    <w:rsid w:val="003A1749"/>
    <w:rsid w:val="003A1ECB"/>
    <w:rsid w:val="003A55A7"/>
    <w:rsid w:val="003B065C"/>
    <w:rsid w:val="003B716D"/>
    <w:rsid w:val="003C0AFA"/>
    <w:rsid w:val="003C0FA6"/>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CE2"/>
    <w:rsid w:val="004B57C3"/>
    <w:rsid w:val="004D1049"/>
    <w:rsid w:val="004D78B0"/>
    <w:rsid w:val="004E1F5A"/>
    <w:rsid w:val="004E2735"/>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C0B90"/>
    <w:rsid w:val="005D2C85"/>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2EA1"/>
    <w:rsid w:val="00743715"/>
    <w:rsid w:val="00752AA5"/>
    <w:rsid w:val="00754D17"/>
    <w:rsid w:val="0075662F"/>
    <w:rsid w:val="007573B4"/>
    <w:rsid w:val="00760073"/>
    <w:rsid w:val="007648A2"/>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186D"/>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80EFF"/>
    <w:rsid w:val="008843BA"/>
    <w:rsid w:val="00885C0F"/>
    <w:rsid w:val="008865BF"/>
    <w:rsid w:val="008904FB"/>
    <w:rsid w:val="00894661"/>
    <w:rsid w:val="008A0C89"/>
    <w:rsid w:val="008B39D5"/>
    <w:rsid w:val="008B50B5"/>
    <w:rsid w:val="008B7878"/>
    <w:rsid w:val="008C3FA3"/>
    <w:rsid w:val="008F3497"/>
    <w:rsid w:val="008F79C4"/>
    <w:rsid w:val="008F7D8C"/>
    <w:rsid w:val="00901C5B"/>
    <w:rsid w:val="0090227A"/>
    <w:rsid w:val="00903423"/>
    <w:rsid w:val="00911768"/>
    <w:rsid w:val="00911CB8"/>
    <w:rsid w:val="00913549"/>
    <w:rsid w:val="00916811"/>
    <w:rsid w:val="0092054F"/>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93E"/>
    <w:rsid w:val="009A2969"/>
    <w:rsid w:val="009A5D8D"/>
    <w:rsid w:val="009A6FB5"/>
    <w:rsid w:val="009A7726"/>
    <w:rsid w:val="009B084E"/>
    <w:rsid w:val="009B1B63"/>
    <w:rsid w:val="009B33E6"/>
    <w:rsid w:val="009C1CB7"/>
    <w:rsid w:val="009C5386"/>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F91"/>
    <w:rsid w:val="00AA3CCC"/>
    <w:rsid w:val="00AA65DE"/>
    <w:rsid w:val="00AA79D7"/>
    <w:rsid w:val="00AB4003"/>
    <w:rsid w:val="00AC4673"/>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618D"/>
    <w:rsid w:val="00C01BDD"/>
    <w:rsid w:val="00C03895"/>
    <w:rsid w:val="00C03D3F"/>
    <w:rsid w:val="00C142AA"/>
    <w:rsid w:val="00C15E89"/>
    <w:rsid w:val="00C15FD0"/>
    <w:rsid w:val="00C16BB0"/>
    <w:rsid w:val="00C211A4"/>
    <w:rsid w:val="00C24E3D"/>
    <w:rsid w:val="00C319BB"/>
    <w:rsid w:val="00C3417A"/>
    <w:rsid w:val="00C35E49"/>
    <w:rsid w:val="00C36E62"/>
    <w:rsid w:val="00C40C04"/>
    <w:rsid w:val="00C44A6A"/>
    <w:rsid w:val="00C548FE"/>
    <w:rsid w:val="00C56594"/>
    <w:rsid w:val="00C603EA"/>
    <w:rsid w:val="00C61601"/>
    <w:rsid w:val="00C74ED9"/>
    <w:rsid w:val="00C80327"/>
    <w:rsid w:val="00C813A4"/>
    <w:rsid w:val="00C8377D"/>
    <w:rsid w:val="00C8545E"/>
    <w:rsid w:val="00C86667"/>
    <w:rsid w:val="00C90F2A"/>
    <w:rsid w:val="00C9778A"/>
    <w:rsid w:val="00C97A9D"/>
    <w:rsid w:val="00CA1DD4"/>
    <w:rsid w:val="00CA4B41"/>
    <w:rsid w:val="00CA637A"/>
    <w:rsid w:val="00CA789D"/>
    <w:rsid w:val="00CA7BE4"/>
    <w:rsid w:val="00CB793C"/>
    <w:rsid w:val="00CC3441"/>
    <w:rsid w:val="00CC6C01"/>
    <w:rsid w:val="00CD29CA"/>
    <w:rsid w:val="00CD39EE"/>
    <w:rsid w:val="00CD6845"/>
    <w:rsid w:val="00CD7565"/>
    <w:rsid w:val="00CE0A4B"/>
    <w:rsid w:val="00CE0ACA"/>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7EE"/>
    <w:rsid w:val="00D61B1A"/>
    <w:rsid w:val="00D62D7B"/>
    <w:rsid w:val="00D66516"/>
    <w:rsid w:val="00D674B1"/>
    <w:rsid w:val="00D80920"/>
    <w:rsid w:val="00D849AB"/>
    <w:rsid w:val="00D87A62"/>
    <w:rsid w:val="00D904B9"/>
    <w:rsid w:val="00D90810"/>
    <w:rsid w:val="00D91099"/>
    <w:rsid w:val="00D9155D"/>
    <w:rsid w:val="00D94F62"/>
    <w:rsid w:val="00DA13F9"/>
    <w:rsid w:val="00DA1440"/>
    <w:rsid w:val="00DA6F09"/>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565D"/>
    <w:rsid w:val="00E95C51"/>
    <w:rsid w:val="00E962DF"/>
    <w:rsid w:val="00E97B05"/>
    <w:rsid w:val="00EA1533"/>
    <w:rsid w:val="00EB0D42"/>
    <w:rsid w:val="00EB2455"/>
    <w:rsid w:val="00EC6A11"/>
    <w:rsid w:val="00EC71BB"/>
    <w:rsid w:val="00EC7305"/>
    <w:rsid w:val="00ED3194"/>
    <w:rsid w:val="00ED35D8"/>
    <w:rsid w:val="00ED5C9F"/>
    <w:rsid w:val="00ED6B99"/>
    <w:rsid w:val="00EE18AD"/>
    <w:rsid w:val="00EE5E92"/>
    <w:rsid w:val="00F17FBD"/>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A0589"/>
    <w:rsid w:val="00FA235C"/>
    <w:rsid w:val="00FA4F0F"/>
    <w:rsid w:val="00FA6D8F"/>
    <w:rsid w:val="00FB3714"/>
    <w:rsid w:val="00FC074B"/>
    <w:rsid w:val="00FC2EB0"/>
    <w:rsid w:val="00FC3C57"/>
    <w:rsid w:val="00FC5C03"/>
    <w:rsid w:val="00FC5DD2"/>
    <w:rsid w:val="00FD3F94"/>
    <w:rsid w:val="00FE6CCB"/>
    <w:rsid w:val="00FF196E"/>
    <w:rsid w:val="00FF40BA"/>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5C03"/>
  </w:style>
  <w:style w:type="paragraph" w:styleId="Nadpis1">
    <w:name w:val="heading 1"/>
    <w:basedOn w:val="Normln"/>
    <w:next w:val="Normln"/>
    <w:qFormat/>
    <w:rsid w:val="00FC5C03"/>
    <w:pPr>
      <w:keepNext/>
      <w:spacing w:before="240" w:after="60"/>
      <w:outlineLvl w:val="0"/>
    </w:pPr>
    <w:rPr>
      <w:rFonts w:ascii="Arial" w:hAnsi="Arial"/>
      <w:b/>
      <w:kern w:val="28"/>
      <w:sz w:val="28"/>
    </w:rPr>
  </w:style>
  <w:style w:type="paragraph" w:styleId="Nadpis2">
    <w:name w:val="heading 2"/>
    <w:basedOn w:val="Normln"/>
    <w:next w:val="Normln"/>
    <w:qFormat/>
    <w:rsid w:val="00FC5C03"/>
    <w:pPr>
      <w:keepNext/>
      <w:spacing w:before="240" w:after="60"/>
      <w:outlineLvl w:val="1"/>
    </w:pPr>
    <w:rPr>
      <w:rFonts w:ascii="Arial" w:hAnsi="Arial"/>
      <w:b/>
      <w:i/>
      <w:sz w:val="24"/>
    </w:rPr>
  </w:style>
  <w:style w:type="paragraph" w:styleId="Nadpis3">
    <w:name w:val="heading 3"/>
    <w:basedOn w:val="Normln"/>
    <w:next w:val="Normln"/>
    <w:qFormat/>
    <w:rsid w:val="00FC5C03"/>
    <w:pPr>
      <w:keepNext/>
      <w:spacing w:before="240" w:after="60"/>
      <w:outlineLvl w:val="2"/>
    </w:pPr>
    <w:rPr>
      <w:rFonts w:ascii="Arial" w:hAnsi="Arial"/>
      <w:sz w:val="24"/>
    </w:rPr>
  </w:style>
  <w:style w:type="paragraph" w:styleId="Nadpis4">
    <w:name w:val="heading 4"/>
    <w:basedOn w:val="Normln"/>
    <w:next w:val="Normln"/>
    <w:qFormat/>
    <w:rsid w:val="00FC5C03"/>
    <w:pPr>
      <w:keepNext/>
      <w:ind w:left="360"/>
      <w:jc w:val="both"/>
      <w:outlineLvl w:val="3"/>
    </w:pPr>
    <w:rPr>
      <w:b/>
      <w:sz w:val="24"/>
    </w:rPr>
  </w:style>
  <w:style w:type="paragraph" w:styleId="Nadpis5">
    <w:name w:val="heading 5"/>
    <w:basedOn w:val="Normln"/>
    <w:next w:val="Normln"/>
    <w:qFormat/>
    <w:rsid w:val="00FC5C03"/>
    <w:pPr>
      <w:keepNext/>
      <w:jc w:val="center"/>
      <w:outlineLvl w:val="4"/>
    </w:pPr>
    <w:rPr>
      <w:i/>
      <w:color w:val="800000"/>
      <w:sz w:val="28"/>
    </w:rPr>
  </w:style>
  <w:style w:type="paragraph" w:styleId="Nadpis6">
    <w:name w:val="heading 6"/>
    <w:basedOn w:val="Normln"/>
    <w:next w:val="Normln"/>
    <w:qFormat/>
    <w:rsid w:val="00FC5C03"/>
    <w:pPr>
      <w:keepNext/>
      <w:numPr>
        <w:ilvl w:val="5"/>
        <w:numId w:val="3"/>
      </w:numPr>
      <w:tabs>
        <w:tab w:val="left" w:pos="2268"/>
      </w:tabs>
      <w:outlineLvl w:val="5"/>
    </w:pPr>
    <w:rPr>
      <w:b/>
      <w:sz w:val="24"/>
    </w:rPr>
  </w:style>
  <w:style w:type="paragraph" w:styleId="Nadpis7">
    <w:name w:val="heading 7"/>
    <w:basedOn w:val="Normln"/>
    <w:next w:val="Normln"/>
    <w:qFormat/>
    <w:rsid w:val="00FC5C03"/>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FC5C03"/>
    <w:pPr>
      <w:numPr>
        <w:ilvl w:val="7"/>
        <w:numId w:val="3"/>
      </w:numPr>
      <w:spacing w:before="240" w:after="60"/>
      <w:outlineLvl w:val="7"/>
    </w:pPr>
    <w:rPr>
      <w:rFonts w:ascii="Arial" w:hAnsi="Arial"/>
      <w:i/>
    </w:rPr>
  </w:style>
  <w:style w:type="paragraph" w:styleId="Nadpis9">
    <w:name w:val="heading 9"/>
    <w:basedOn w:val="Normln"/>
    <w:next w:val="Normln"/>
    <w:qFormat/>
    <w:rsid w:val="00FC5C03"/>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C5C03"/>
    <w:pPr>
      <w:widowControl w:val="0"/>
      <w:tabs>
        <w:tab w:val="left" w:pos="3402"/>
      </w:tabs>
      <w:jc w:val="both"/>
    </w:pPr>
    <w:rPr>
      <w:sz w:val="24"/>
    </w:rPr>
  </w:style>
  <w:style w:type="paragraph" w:styleId="Zkladntext">
    <w:name w:val="Body Text"/>
    <w:basedOn w:val="Normln"/>
    <w:semiHidden/>
    <w:rsid w:val="00FC5C03"/>
    <w:pPr>
      <w:jc w:val="both"/>
    </w:pPr>
    <w:rPr>
      <w:rFonts w:ascii="Arial" w:hAnsi="Arial"/>
      <w:sz w:val="24"/>
    </w:rPr>
  </w:style>
  <w:style w:type="paragraph" w:styleId="Zhlav">
    <w:name w:val="header"/>
    <w:basedOn w:val="Normln"/>
    <w:link w:val="ZhlavChar"/>
    <w:rsid w:val="00FC5C03"/>
    <w:pPr>
      <w:tabs>
        <w:tab w:val="center" w:pos="4536"/>
        <w:tab w:val="right" w:pos="9072"/>
      </w:tabs>
    </w:pPr>
  </w:style>
  <w:style w:type="paragraph" w:styleId="Zpat">
    <w:name w:val="footer"/>
    <w:basedOn w:val="Normln"/>
    <w:semiHidden/>
    <w:rsid w:val="00FC5C03"/>
    <w:pPr>
      <w:tabs>
        <w:tab w:val="center" w:pos="4536"/>
        <w:tab w:val="right" w:pos="9072"/>
      </w:tabs>
    </w:pPr>
  </w:style>
  <w:style w:type="character" w:styleId="slostrnky">
    <w:name w:val="page number"/>
    <w:basedOn w:val="Standardnpsmoodstavce"/>
    <w:semiHidden/>
    <w:rsid w:val="00FC5C03"/>
  </w:style>
  <w:style w:type="paragraph" w:styleId="Zkladntextodsazen">
    <w:name w:val="Body Text Indent"/>
    <w:basedOn w:val="Normln"/>
    <w:semiHidden/>
    <w:rsid w:val="00FC5C03"/>
    <w:pPr>
      <w:ind w:left="1701" w:hanging="992"/>
    </w:pPr>
  </w:style>
  <w:style w:type="paragraph" w:styleId="Zkladntext2">
    <w:name w:val="Body Text 2"/>
    <w:basedOn w:val="Normln"/>
    <w:semiHidden/>
    <w:rsid w:val="00FC5C03"/>
    <w:pPr>
      <w:jc w:val="center"/>
    </w:pPr>
    <w:rPr>
      <w:rFonts w:ascii="Arial" w:hAnsi="Arial"/>
      <w:b/>
      <w:kern w:val="28"/>
      <w:sz w:val="28"/>
    </w:rPr>
  </w:style>
  <w:style w:type="paragraph" w:styleId="Zkladntext3">
    <w:name w:val="Body Text 3"/>
    <w:basedOn w:val="Normln"/>
    <w:semiHidden/>
    <w:rsid w:val="00FC5C03"/>
    <w:pPr>
      <w:spacing w:before="120" w:line="240" w:lineRule="atLeast"/>
    </w:pPr>
    <w:rPr>
      <w:rFonts w:ascii="Arial" w:hAnsi="Arial"/>
      <w:sz w:val="24"/>
    </w:rPr>
  </w:style>
  <w:style w:type="paragraph" w:styleId="Textbubliny">
    <w:name w:val="Balloon Text"/>
    <w:basedOn w:val="Normln"/>
    <w:semiHidden/>
    <w:rsid w:val="00FC5C03"/>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blat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96E9-1A5F-41B8-888B-0A3D5FC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5147</Words>
  <Characters>30947</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Renata</cp:lastModifiedBy>
  <cp:revision>10</cp:revision>
  <cp:lastPrinted>2016-12-01T07:59:00Z</cp:lastPrinted>
  <dcterms:created xsi:type="dcterms:W3CDTF">2016-12-01T01:14:00Z</dcterms:created>
  <dcterms:modified xsi:type="dcterms:W3CDTF">2016-12-01T07:59:00Z</dcterms:modified>
</cp:coreProperties>
</file>